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9.xml" ContentType="application/vnd.openxmlformats-officedocument.wordprocessingml.header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styles.xml" ContentType="application/vnd.openxmlformats-officedocument.wordprocessingml.styles+xml"/>
  <Override PartName="/word/media/image1.png" ContentType="image/png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hanging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51510" cy="1075055"/>
            <wp:effectExtent l="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КЕМЕРОВСКАЯ ОБЛАСТЬ - КУЗБАСС</w:t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cap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НОВОКУЗНЕЦКИЙ ГОРОДСКОЙ ОКРУГ</w:t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АДМИНИСТРАЦИЯ ГОРОДА НОВОКУЗНЕЦКА</w:t>
      </w:r>
    </w:p>
    <w:p>
      <w:pPr>
        <w:pStyle w:val="Normal"/>
        <w:pBdr>
          <w:bottom w:val="double" w:sz="4" w:space="6" w:color="000000"/>
        </w:pBdr>
        <w:spacing w:before="0" w:after="0"/>
        <w:ind w:hanging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от 20.03.2026 №105</w:t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ListParagraph"/>
        <w:spacing w:lineRule="auto" w:line="240" w:before="0" w:after="0"/>
        <w:ind w:hanging="0" w:left="0"/>
        <w:contextualSpacing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 внесении изменения в постановление</w:t>
        <w:br/>
        <w:t>администрации города Новокузнецка</w:t>
        <w:br/>
        <w:t>от 14.11.2025 №244 «Об утверждении</w:t>
        <w:br/>
        <w:t>муниципальной программы</w:t>
        <w:br/>
      </w:r>
      <w:r>
        <w:rPr>
          <w:rFonts w:ascii="Times New Roman" w:hAnsi="Times New Roman"/>
          <w:color w:val="000000"/>
          <w:sz w:val="28"/>
          <w:szCs w:val="28"/>
        </w:rPr>
        <w:t>Новокузнецкого городского округа</w:t>
        <w:br/>
        <w:t>«Защита прав граждан в сфере опеки</w:t>
        <w:br/>
        <w:t>и попечительства на территории</w:t>
        <w:br/>
        <w:t>Новокузнецкого городского округа»</w:t>
      </w:r>
    </w:p>
    <w:p>
      <w:pPr>
        <w:pStyle w:val="ListParagraph"/>
        <w:spacing w:lineRule="auto" w:line="240"/>
        <w:ind w:hanging="0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/>
        <w:ind w:hanging="0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решением Новокузнецкого городского Совета народных депутатов от 23.12.2025 №18/115 «О бюджете Новокузнецкого городского округа на 2026 год и на плановый период 2027 и 2028 годов», </w:t>
      </w:r>
      <w:hyperlink r:id="rId3">
        <w:r>
          <w:rPr>
            <w:rStyle w:val="Style4"/>
            <w:rFonts w:eastAsia="Calibri" w:ascii="Times New Roman" w:hAnsi="Times New Roman" w:eastAsiaTheme="minorHAnsi"/>
            <w:color w:val="000000"/>
            <w:sz w:val="28"/>
            <w:szCs w:val="28"/>
          </w:rPr>
          <w:t>постановлением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>администрации города Новокузнецка от 04.12.2019 №199 «</w:t>
      </w:r>
      <w:r>
        <w:rPr>
          <w:rFonts w:ascii="Times New Roman" w:hAnsi="Times New Roman"/>
          <w:color w:val="000000"/>
          <w:sz w:val="28"/>
          <w:szCs w:val="28"/>
        </w:rPr>
        <w:t>Об утверждении Порядка разработки, реализации и оценки эффективности муниципальных программ Новокузнецкого городского округа</w:t>
      </w: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 xml:space="preserve">», руководствуясь </w:t>
      </w:r>
      <w:hyperlink r:id="rId4">
        <w:r>
          <w:rPr>
            <w:rStyle w:val="Style4"/>
            <w:rFonts w:eastAsia="Calibri" w:ascii="Times New Roman" w:hAnsi="Times New Roman" w:eastAsiaTheme="minorHAnsi"/>
            <w:color w:val="000000"/>
            <w:sz w:val="28"/>
            <w:szCs w:val="28"/>
          </w:rPr>
          <w:t>ст</w:t>
        </w:r>
        <w:r>
          <w:rPr>
            <w:rStyle w:val="Style4"/>
            <w:rFonts w:ascii="Times New Roman" w:hAnsi="Times New Roman"/>
            <w:color w:val="000000"/>
            <w:sz w:val="28"/>
            <w:szCs w:val="28"/>
          </w:rPr>
          <w:t>атьей 40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Устава Новокузнецкого городского округа: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1. Внести в постановление администрации города Новокузнецка от 14.11.2025 №244 «Об утверждении муниципальной программы Новокузнецкого городского округа «Защита прав граждан в сфере опеки и попечительства на территории Новокузнецкого городского округа» изменение, изложив приложение «Муниципальная программа «Защита прав граждан в сфере опеки и попечительства на территории Новокузнецкого городского округа» в новой редакции согласно приложению к настоящему постановлению.</w:t>
      </w:r>
    </w:p>
    <w:p>
      <w:pPr>
        <w:pStyle w:val="Normal"/>
        <w:spacing w:before="0" w:after="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2.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>
      <w:pPr>
        <w:pStyle w:val="Normal"/>
        <w:numPr>
          <w:ilvl w:val="0"/>
          <w:numId w:val="0"/>
        </w:numPr>
        <w:tabs>
          <w:tab w:val="left" w:pos="709" w:leader="none"/>
        </w:tabs>
        <w:spacing w:before="0" w:after="0"/>
        <w:ind w:firstLine="709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3. Настоящее постановление вступает в силу после его официального опубликования и распространяется</w:t>
      </w:r>
      <w:bookmarkStart w:id="0" w:name="_GoBack_Копия_8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на правоотношения, возникшие с 1 января 2026 года.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000000"/>
        </w:rPr>
      </w:pP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>4. Контроль за исполнением настоящего постановления возложить на заместителя Главы города по социальным вопросам.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color w:val="000000"/>
          <w:sz w:val="24"/>
          <w:szCs w:val="24"/>
        </w:rPr>
      </w:pPr>
      <w:r>
        <w:rPr>
          <w:rFonts w:eastAsia="Calibri" w:eastAsiaTheme="minorHAnsi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color w:val="000000"/>
          <w:sz w:val="24"/>
          <w:szCs w:val="24"/>
        </w:rPr>
      </w:pPr>
      <w:r>
        <w:rPr>
          <w:rFonts w:eastAsia="Calibri" w:eastAsiaTheme="minorHAnsi" w:ascii="Times New Roman" w:hAnsi="Times New Roman"/>
          <w:color w:val="000000"/>
          <w:sz w:val="24"/>
          <w:szCs w:val="24"/>
        </w:rPr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531" w:type="dxa"/>
        <w:jc w:val="left"/>
        <w:tblInd w:w="3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17"/>
        <w:gridCol w:w="4613"/>
      </w:tblGrid>
      <w:tr>
        <w:trPr/>
        <w:tc>
          <w:tcPr>
            <w:tcW w:w="4917" w:type="dxa"/>
            <w:tcBorders/>
          </w:tcPr>
          <w:p>
            <w:pPr>
              <w:pStyle w:val="ListParagraph"/>
              <w:tabs>
                <w:tab w:val="clear" w:pos="709"/>
                <w:tab w:val="left" w:pos="851" w:leader="none"/>
              </w:tabs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Глава города</w:t>
            </w:r>
          </w:p>
        </w:tc>
        <w:tc>
          <w:tcPr>
            <w:tcW w:w="4613" w:type="dxa"/>
            <w:tcBorders/>
          </w:tcPr>
          <w:p>
            <w:pPr>
              <w:pStyle w:val="ListParagraph"/>
              <w:tabs>
                <w:tab w:val="clear" w:pos="709"/>
                <w:tab w:val="left" w:pos="851" w:leader="none"/>
              </w:tabs>
              <w:spacing w:lineRule="auto" w:line="240" w:before="0" w:after="0"/>
              <w:ind w:hanging="0" w:left="0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Д.П. Ильин</w:t>
            </w:r>
          </w:p>
        </w:tc>
      </w:tr>
    </w:tbl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br w:type="page"/>
      </w:r>
    </w:p>
    <w:p>
      <w:pPr>
        <w:pStyle w:val="ConsPlusNormal1"/>
        <w:numPr>
          <w:ilvl w:val="0"/>
          <w:numId w:val="0"/>
        </w:numPr>
        <w:spacing w:before="0" w:after="0"/>
        <w:jc w:val="right"/>
        <w:outlineLvl w:val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Приложение</w:t>
        <w:br/>
        <w:t>к постановлению администрации</w:t>
      </w:r>
    </w:p>
    <w:p>
      <w:pPr>
        <w:pStyle w:val="ConsPlusNormal1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города Новокузнецка</w:t>
        <w:br/>
      </w:r>
      <w:r>
        <w:rPr>
          <w:rFonts w:ascii="Times New Roman" w:hAnsi="Times New Roman"/>
          <w:color w:themeColor="text1" w:val="000000"/>
          <w:sz w:val="28"/>
          <w:szCs w:val="28"/>
        </w:rPr>
        <w:t>от 20.03.2026 №105</w:t>
      </w:r>
    </w:p>
    <w:p>
      <w:pPr>
        <w:pStyle w:val="ConsPlusNormal1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rmal1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Прилож</w:t>
      </w:r>
      <w:r>
        <w:rPr>
          <w:rFonts w:cs="Times New Roman" w:ascii="Times New Roman" w:hAnsi="Times New Roman"/>
          <w:sz w:val="28"/>
          <w:szCs w:val="28"/>
        </w:rPr>
        <w:t>ение</w:t>
        <w:br/>
        <w:t>к постановлению администрации</w:t>
      </w:r>
    </w:p>
    <w:p>
      <w:pPr>
        <w:pStyle w:val="ConsPlusNormal1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города Новокузнецка</w:t>
        <w:br/>
        <w:t>от 14.11.2025 №244</w:t>
      </w:r>
    </w:p>
    <w:p>
      <w:pPr>
        <w:pStyle w:val="ConsPlusTitle"/>
        <w:spacing w:before="360" w:after="240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bookmarkStart w:id="1" w:name="P34"/>
      <w:bookmarkEnd w:id="1"/>
      <w:r>
        <w:rPr>
          <w:rFonts w:cs="Times New Roman" w:ascii="Times New Roman" w:hAnsi="Times New Roman"/>
          <w:b w:val="false"/>
          <w:sz w:val="28"/>
          <w:szCs w:val="28"/>
        </w:rPr>
        <w:t>Муниципальная программа Новокузнецкого городского округа</w:t>
        <w:br/>
        <w:t>«Защита прав граждан в сфере опеки и попечительства на территории Новокузнецкого городского округа»</w:t>
      </w:r>
    </w:p>
    <w:p>
      <w:pPr>
        <w:pStyle w:val="ListParagraph"/>
        <w:spacing w:lineRule="auto" w:line="240" w:before="240" w:after="240"/>
        <w:ind w:hanging="0"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Стратегические приоритеты муниципальной программы</w:t>
        <w:br/>
        <w:t>Новокузнецкого городского округа «Защита прав</w:t>
        <w:br/>
        <w:t>граждан в сфере опеки и попечительства на территории</w:t>
        <w:br/>
        <w:t>Новокузнецкого городского округа»</w:t>
      </w:r>
    </w:p>
    <w:p>
      <w:pPr>
        <w:pStyle w:val="ListParagraph"/>
        <w:spacing w:lineRule="auto" w:line="240" w:before="240" w:after="240"/>
        <w:ind w:hanging="0" w:left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 Оценка текущего состояния сферы опеки и попечительства</w:t>
        <w:br/>
        <w:t>на территории Новокузнецкого городского округа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Государственная политика Российской Федерации в области социальной поддержки детей-сирот и детей, оставшихся без попечения родителей, формируется в соответствии с положениями Конституции Российской Федерации, в которой определено, что в Российской Федерации семья, материнство и детство находятся под защитой государства. Социальная поддержка детей-сирот и детей, оставшихся без попечения родителей, представляет собой систему правовых, экономических, организационных и иных мер, гарантированных государством. Меры социальной поддержки и условия их предоставления определены законодательством Российской Федерации, законодательством Кемеровской области-Кузбасса, а также регламентируются муниципальными нормативными правовыми актами Новокузнецкого городского округа.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Управления опеки и попечительства администрации города Новокузнецка направлена на защиту прав и интересов</w:t>
        <w:br/>
        <w:t>детей-сирот и детей, оставшихся без попечения родителей, прав недееспособных и ограниченно дееспособных граждан. Одним из направлений деятельности Управления опеки и попечительства администрации города Новокузнецка является обеспечение реализации мер социальной поддержки приемных семей, детей-сирот и детей, оставшихся без попечения родителей.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реализации муниципальной программы Новокузнецкого городского округа «Защита прав граждан в сфере опеки и попечительства на территории Новокузнецкого городского округа» (далее – муниципальная программа) необходима целенаправленная планомерная работа по реализации государственной политики в сфере защиты прав детей-сирот и детей, оставшихся без попечения родителей, также в части профилактики социального сиротства через обеспечение детям-сиротам и детям, оставшимся без попечения родителей, государственных социальных гарантий и права жить и воспитываться в семье.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Новокузнецком городском округе на 01.01.2025 по данным Отдела государственной статистики в городе Новокузнецк территориального органа Федеральной службы государственной статистики по Кемеровской области-Кузбассу проживает 111 040 несовершеннолетних от 0 до 18 лет, из них 2 132 несовершеннолетних, относящихся к категории детей-сирот и детей, оставшихся без попечения родителей, что составляет 1,9 % от общего количества детского населения. В замещающих семьях на 01.01.2025 воспитывалось 1 780 несовершеннолетних из категории детей-сирот и детей, оставшихся без попечения родителей, что составляет 83,5 % от общего количества детей-сирот и детей, оставшихся без попечения родителей.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01.01.2015 общее количество детского населения от 0 до 18 лет составляло 113 445, из них детей-сирот и детей, оставшихся без попечения родителей, – 3 063, что составляло 2,69 % от общего количества детского населения, в замещающих семьях воспитывалось 2 426 детей-сирот и детей, оставшихся без попечения родителей, что составляло 79,2 % от общего количества детей-сирот и детей, оставшихся без попечения родителей.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часть от общего количества детей-сирот и детей, оставшихся без попечения родителей, так называемые социальные сироты – дети, родители которых уклоняются от воспитания и содержания своих детей и ненадлежащим образом исполняют свои обязанности. Количество выявленных детей, оставшихся без попечения родителей, в 2024 году (270 человек) остается примерно равнозначным с показателями 2023 года (272 человека), но уменьшилось по сравнению с 2022 годом (326 человек) и по сравнению с периодом 2014–2016 годов, однако остается достаточно высоким.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количеству лиц, лишенных родительских прав, в 2024 году (136 человек) произошел рост по сравнению с 2023 годом (117 человек) и особенно в сравнении с 2020 годом, когда наблюдалось значительное снижение. В целом за последние четыре года наблюдается стабильное снижение показателя численности родителей, лишенных родительских прав, по сравнению с периодом 2014–2017 годов.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за последние четыре года показатель числа детей, чьи родители лишены родительских прав, стал самым высоким. Данный факт объясняется тем, что в основном это дети из многодетных семей с тремя и более детьми.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Описание приоритетов и целей муниципальной политики</w:t>
        <w:br/>
        <w:t>в сфере реализации муниципальной программы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Система целеполагания и задачи муниципальной программы сформированы с учетом национальных целей развития на период до 2030 года, определенных Указом Президента Российской Федерации от 07.05.2024 №309 «О национальных целях развития Российской Федерации на период до 2030 года и на перспективу до 2036 года».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Реализация муниципальной программы будет непосредственно направлена на достижение следующей национальной цели развития Российской Федерации: сохранение населения, укрепление здоровья и повышение благополучия людей, поддержка семьи.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Приоритеты и цель муниципальной программы коррелируют с приоритетами и целями, определенных в контурах приоритетов Стратегии социально-экономического развития Кемеровской области – Кузбасса до 2035 года, утвержденной Законом Кемеровской области от 26.12.2018 №122-ОЗ «Об утверждении Стратегии социально-экономического развития Кемеровской области – Кузбасса на период до 2035 года». Одним из ключевых приоритетов развития семейного воспитания в рамках Стратегии социально-экономического развития Кемеровской области – Кузбасса до 2035 года является </w:t>
      </w:r>
      <w:r>
        <w:rPr>
          <w:rFonts w:ascii="Times New Roman" w:hAnsi="Times New Roman"/>
          <w:sz w:val="28"/>
          <w:szCs w:val="28"/>
        </w:rPr>
        <w:t>приоритет «Кузбасс – центр высокого качества жизни населения», результатом которого является осуществление оказания консультативной, психологической, педагогической, юридической, социальной и иной помощи лицам, усыновившим (удочерившим) или принявшим под опеку (попечительство) ребенка, а также пропаганда и сохранение семейных ценностей по направлению «Семья – очаг любви и верности».</w:t>
      </w:r>
    </w:p>
    <w:p>
      <w:pPr>
        <w:pStyle w:val="Normal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Помимо этого реализация муниципальной программы направлена на снижение уровня сиротства как детей, так и лиц старшего поколения, что является одним из показателей качества жизни населения.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Сведения о взаимосвязи со стратегическими приоритетами, целями и показателями государственных программ Кемеровской области-Кузбасса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Целеполагание и задачи муниципальной программы связаны с государственной программой Кемеровской области – Кузбасса «</w:t>
      </w:r>
      <w:r>
        <w:rPr>
          <w:rFonts w:ascii="Times New Roman" w:hAnsi="Times New Roman"/>
          <w:sz w:val="28"/>
          <w:szCs w:val="28"/>
        </w:rPr>
        <w:t>Развитие системы образования Кузбасса», утвержденной постановлением Правительства Кемеровской области – Кузбасса от 28.11.2023 №784 «Об утверждении государственной программы Кемеровской области – Кузбасса «Развитие системы образования Кузбасса».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Задачи муниципального управления, способы их эффективного</w:t>
        <w:br/>
        <w:t>решения в соответствующей отрасли экономики и сфере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Решением Новокузнецкого городского Совета народных депутатов от 25.12.2018 №17/157 «Об утверждении Стратегии социально-экономического развития Новокузнецкого городского округа до 2035 года» утверждена Стратегия социально-экономического развития Новокузнецкого городского округа до 2035 года.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целях достижения стратегических целей и задач социально-экономического развития Новокузнецкого городского округа до 2035 года определены цели, разработаны структура и система показателей муниципальной программы.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Цель муниципальной программы: снижение социально-экономических проблем на территории Новокузнецкого городского округа путем развития преимущественно форм семейного устройства детей-сирот и детей, оставшихся без попечения родителей, улучшение качества жизни недееспособных граждан.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Достижение указанной цели муниципальной программы осуществляется путем решения следующих задач: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1) организация работы по устройству детей-сирот и детей, оставшихся без попечения родителей, в семьи;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2) организация работы по назначению и выплате денежных средств детям-сиротам и детям, оставшимся без попечения родителей, и приемным родителям;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3) организация работы по защите имущественных прав несовершеннолетних;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4) организация работы по устройству недееспособных граждан в семьи родственников;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5) обеспечение деятельность органов опеки и попечительства.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Показатели муниципальной программы: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1) доля детей-сирот и детей, оставшихся без попечения родителей, находящихся в семьях, к общему количеству детей-сирот;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2) доля недееспособных граждан, находящихся под опекой родственников, от общего количества недееспособных граждан, находящихся под опекой физических лиц.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целях решения вышеуказанных задач в структуре муниципальной программы выделены следующие комплексы процессных мероприятий: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1) развитие форм семейного устрой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ства (приложени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е №1 к настоящей муниципальной программе);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2) организация и осуществление деятельности по опеке и попечительству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(приложение №2 к настоящей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муниципальной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программе).</w:t>
      </w:r>
    </w:p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 w:eastAsia="Calibri"/>
          <w:color w:val="000000"/>
          <w:sz w:val="28"/>
          <w:szCs w:val="28"/>
          <w:lang w:eastAsia="en-US"/>
        </w:rPr>
      </w:pPr>
      <w:r>
        <w:rPr>
          <w:rFonts w:eastAsia="Calibri" w:ascii="Times New Roman" w:hAnsi="Times New Roman"/>
          <w:color w:val="000000"/>
          <w:sz w:val="28"/>
          <w:szCs w:val="28"/>
          <w:lang w:eastAsia="en-US"/>
        </w:rPr>
      </w:r>
      <w:r>
        <w:br w:type="page"/>
      </w:r>
    </w:p>
    <w:p>
      <w:pPr>
        <w:pStyle w:val="ListParagraph"/>
        <w:spacing w:lineRule="auto" w:line="240" w:before="0" w:after="240"/>
        <w:ind w:hanging="0"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  <w:br/>
        <w:t>муниципальной программы Новокузнецкого городского округа</w:t>
        <w:br/>
        <w:t>«Защита прав граждан в сфере опеки и попечительства</w:t>
        <w:br/>
        <w:t>на территории Новокузнецкого городского округа»</w:t>
      </w:r>
    </w:p>
    <w:p>
      <w:pPr>
        <w:pStyle w:val="ListParagraph"/>
        <w:spacing w:lineRule="auto" w:line="240" w:before="240" w:after="0"/>
        <w:ind w:hanging="0"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1. Основные положения программы</w:t>
      </w:r>
    </w:p>
    <w:tbl>
      <w:tblPr>
        <w:tblStyle w:val="affa"/>
        <w:tblW w:w="9521" w:type="dxa"/>
        <w:jc w:val="left"/>
        <w:tblInd w:w="33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3775"/>
        <w:gridCol w:w="5745"/>
      </w:tblGrid>
      <w:tr>
        <w:trPr/>
        <w:tc>
          <w:tcPr>
            <w:tcW w:w="37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Наименование программы</w:t>
            </w:r>
          </w:p>
        </w:tc>
        <w:tc>
          <w:tcPr>
            <w:tcW w:w="57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Защита прав граждан в сфере опеки и попечительства на территории Новокузнецкого городского округа</w:t>
            </w:r>
          </w:p>
        </w:tc>
      </w:tr>
      <w:tr>
        <w:trPr/>
        <w:tc>
          <w:tcPr>
            <w:tcW w:w="37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Реквизиты распоряжения администрации города Новокузнецка об утверждении</w:t>
            </w:r>
          </w:p>
        </w:tc>
        <w:tc>
          <w:tcPr>
            <w:tcW w:w="57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Распоряжение администрации города Новокузнецка от 20.09.2018 №1341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реализации»</w:t>
            </w:r>
          </w:p>
        </w:tc>
      </w:tr>
      <w:tr>
        <w:trPr/>
        <w:tc>
          <w:tcPr>
            <w:tcW w:w="37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Директор (куратор) программы</w:t>
            </w:r>
          </w:p>
        </w:tc>
        <w:tc>
          <w:tcPr>
            <w:tcW w:w="57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Заместитель Главы города Новокузнецка по социальным вопросам</w:t>
            </w:r>
          </w:p>
        </w:tc>
      </w:tr>
      <w:tr>
        <w:trPr>
          <w:trHeight w:val="860" w:hRule="atLeast"/>
        </w:trPr>
        <w:tc>
          <w:tcPr>
            <w:tcW w:w="37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Разработчик (ответственный исполнитель) программы</w:t>
            </w:r>
          </w:p>
        </w:tc>
        <w:tc>
          <w:tcPr>
            <w:tcW w:w="57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Управление опеки и попечительства администрации города Новокузнецка</w:t>
            </w:r>
          </w:p>
        </w:tc>
      </w:tr>
      <w:tr>
        <w:trPr/>
        <w:tc>
          <w:tcPr>
            <w:tcW w:w="37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Период реализации программы</w:t>
            </w:r>
          </w:p>
        </w:tc>
        <w:tc>
          <w:tcPr>
            <w:tcW w:w="57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2026–2030 годы</w:t>
            </w:r>
          </w:p>
        </w:tc>
      </w:tr>
      <w:tr>
        <w:trPr/>
        <w:tc>
          <w:tcPr>
            <w:tcW w:w="37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Цели программы</w:t>
            </w:r>
          </w:p>
        </w:tc>
        <w:tc>
          <w:tcPr>
            <w:tcW w:w="57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Снижение социально-экономических проблем на территории Новокузнецкого городского округа путем развития преимущественно форм семейного устройства детей-сирот и детей, оставшихся без попечения родителей, улучшение качества жизни недееспособных граждан</w:t>
            </w:r>
          </w:p>
        </w:tc>
      </w:tr>
      <w:tr>
        <w:trPr/>
        <w:tc>
          <w:tcPr>
            <w:tcW w:w="37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Направления (подпрограмма) программы</w:t>
            </w:r>
          </w:p>
        </w:tc>
        <w:tc>
          <w:tcPr>
            <w:tcW w:w="57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Х</w:t>
            </w:r>
          </w:p>
        </w:tc>
      </w:tr>
      <w:tr>
        <w:trPr>
          <w:trHeight w:val="1107" w:hRule="atLeast"/>
        </w:trPr>
        <w:tc>
          <w:tcPr>
            <w:tcW w:w="37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Объемы финансового обеспечения за весь период реализации программы</w:t>
            </w:r>
          </w:p>
        </w:tc>
        <w:tc>
          <w:tcPr>
            <w:tcW w:w="57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869 965,1 тыс. рублей</w:t>
            </w:r>
          </w:p>
        </w:tc>
      </w:tr>
      <w:tr>
        <w:trPr/>
        <w:tc>
          <w:tcPr>
            <w:tcW w:w="37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Связь с национальными целями развития Российской Федерации/государственной программой Российской Федерации, Кемеровской области-Кузбасса</w:t>
            </w:r>
          </w:p>
        </w:tc>
        <w:tc>
          <w:tcPr>
            <w:tcW w:w="57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Национальная цель – сохранение населения, укрепление здоровья и повышение благополучия людей, поддержка семьи.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Связь с государственной программой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№784 «Об утверждении государственной программы Кемеровской области – Кузбасса «Развитие системы образования Кузбасса» (далее – государственная программа Кемеровской области – Кузбасса «Развитие системы образования Кузбасса»)</w:t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418" w:right="851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ListParagraph"/>
        <w:spacing w:lineRule="auto" w:line="240" w:before="240" w:after="240"/>
        <w:ind w:hanging="0"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 Показатели муниципальной программы</w:t>
      </w:r>
    </w:p>
    <w:tbl>
      <w:tblPr>
        <w:tblW w:w="15131" w:type="dxa"/>
        <w:jc w:val="left"/>
        <w:tblInd w:w="-2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629"/>
        <w:gridCol w:w="1318"/>
        <w:gridCol w:w="817"/>
        <w:gridCol w:w="687"/>
        <w:gridCol w:w="906"/>
        <w:gridCol w:w="743"/>
        <w:gridCol w:w="734"/>
        <w:gridCol w:w="914"/>
        <w:gridCol w:w="1188"/>
        <w:gridCol w:w="1027"/>
        <w:gridCol w:w="961"/>
        <w:gridCol w:w="1126"/>
        <w:gridCol w:w="12"/>
        <w:gridCol w:w="1333"/>
        <w:gridCol w:w="1363"/>
        <w:gridCol w:w="1373"/>
      </w:tblGrid>
      <w:tr>
        <w:trPr>
          <w:trHeight w:val="1988" w:hRule="atLeast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Условное обозначение единицы измерения (по </w:t>
            </w:r>
            <w:hyperlink r:id="rId8">
              <w:r>
                <w:rPr>
                  <w:rStyle w:val="Style4"/>
                  <w:rFonts w:cs="Times New Roman" w:ascii="Times New Roman" w:hAnsi="Times New Roman"/>
                  <w:sz w:val="24"/>
                  <w:szCs w:val="24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Документ, подтверждающий уровень показателя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Исполнитель, ответственный за достижение показателя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Связь с показателями национальных целей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hanging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131" w:type="dxa"/>
        <w:jc w:val="left"/>
        <w:tblInd w:w="-2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629"/>
        <w:gridCol w:w="1318"/>
        <w:gridCol w:w="817"/>
        <w:gridCol w:w="687"/>
        <w:gridCol w:w="906"/>
        <w:gridCol w:w="743"/>
        <w:gridCol w:w="749"/>
        <w:gridCol w:w="899"/>
        <w:gridCol w:w="1188"/>
        <w:gridCol w:w="1027"/>
        <w:gridCol w:w="961"/>
        <w:gridCol w:w="1126"/>
        <w:gridCol w:w="1345"/>
        <w:gridCol w:w="1363"/>
        <w:gridCol w:w="1373"/>
      </w:tblGrid>
      <w:tr>
        <w:trPr>
          <w:tblHeader w:val="true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муниципальной программы: «Снижение социально-экономических проблем на территории Новокузнецкого городского округа путем развития преимущественно форм семейного устройства детей-сирот и детей, оставшихся без попечения родителей, улучшение качества жизни недееспособных граждан»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Доля детей-сирот и детей, оставшихся без попечения родителей, находящихся в семьях, к общему количеству детей-сирот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Муниципальная программа (далее – МП)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опеки и попечительства администрации города Новокузнецка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Доля недееспособных граждан, находящихся под опекой родственников, от общего количества недееспособных граждан, находящихся под опекой физических лиц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Государственная </w:t>
            </w:r>
            <w:hyperlink r:id="rId9">
              <w:r>
                <w:rPr>
                  <w:rStyle w:val="Style4"/>
                  <w:rFonts w:cs="Times New Roman" w:ascii="Times New Roman" w:hAnsi="Times New Roman"/>
                  <w:sz w:val="24"/>
                  <w:szCs w:val="24"/>
                </w:rPr>
                <w:t>программа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Кемеровской области – Кузбасса «Развитие системы образования Кузбасса»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опеки и попечительства администрации города Новокузнецка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</w:tbl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eastAsia="Calibri" w:ascii="Times New Roman" w:hAnsi="Times New Roman"/>
          <w:sz w:val="28"/>
          <w:szCs w:val="28"/>
          <w:lang w:eastAsia="en-US"/>
        </w:rPr>
      </w:r>
      <w:r>
        <w:br w:type="page"/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"/>
          <w:szCs w:val="2"/>
          <w:shd w:fill="FF8000" w:val="clear"/>
        </w:rPr>
        <w:t>1</w:t>
      </w:r>
      <w:r>
        <w:rPr>
          <w:rFonts w:ascii="Times New Roman" w:hAnsi="Times New Roman"/>
          <w:sz w:val="28"/>
          <w:szCs w:val="28"/>
        </w:rPr>
        <w:t>Раздел 3. Помесячный план достижения показателей муниципальной программы в текущем 2026 году</w:t>
      </w:r>
    </w:p>
    <w:tbl>
      <w:tblPr>
        <w:tblW w:w="15120" w:type="dxa"/>
        <w:jc w:val="left"/>
        <w:tblInd w:w="12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568"/>
        <w:gridCol w:w="1866"/>
        <w:gridCol w:w="992"/>
        <w:gridCol w:w="1276"/>
        <w:gridCol w:w="768"/>
        <w:gridCol w:w="995"/>
        <w:gridCol w:w="647"/>
        <w:gridCol w:w="848"/>
        <w:gridCol w:w="708"/>
        <w:gridCol w:w="691"/>
        <w:gridCol w:w="872"/>
        <w:gridCol w:w="992"/>
        <w:gridCol w:w="992"/>
        <w:gridCol w:w="992"/>
        <w:gridCol w:w="993"/>
        <w:gridCol w:w="916"/>
      </w:tblGrid>
      <w:tr>
        <w:trPr/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Условное обозначение единицы измерения (по </w:t>
            </w:r>
            <w:hyperlink r:id="rId10">
              <w:r>
                <w:rPr>
                  <w:rStyle w:val="Style4"/>
                  <w:rFonts w:cs="Times New Roman" w:ascii="Times New Roman" w:hAnsi="Times New Roman"/>
                  <w:sz w:val="24"/>
                  <w:szCs w:val="24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 31.12. 2026</w:t>
            </w:r>
          </w:p>
        </w:tc>
      </w:tr>
      <w:tr>
        <w:trPr/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hanging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120" w:type="dxa"/>
        <w:jc w:val="left"/>
        <w:tblInd w:w="12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568"/>
        <w:gridCol w:w="1866"/>
        <w:gridCol w:w="992"/>
        <w:gridCol w:w="1276"/>
        <w:gridCol w:w="768"/>
        <w:gridCol w:w="995"/>
        <w:gridCol w:w="647"/>
        <w:gridCol w:w="848"/>
        <w:gridCol w:w="708"/>
        <w:gridCol w:w="691"/>
        <w:gridCol w:w="872"/>
        <w:gridCol w:w="992"/>
        <w:gridCol w:w="992"/>
        <w:gridCol w:w="992"/>
        <w:gridCol w:w="993"/>
        <w:gridCol w:w="916"/>
      </w:tblGrid>
      <w:tr>
        <w:trPr>
          <w:tblHeader w:val="true"/>
          <w:trHeight w:val="299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>
          <w:trHeight w:val="414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4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Цель 1 муниципальной программы: «Снижение социально-экономических проблем на территории Новокузнецкого городского округа путем развития преимущественно форм семейного устройства детей-сирот и детей, оставшихся без попечения родителей, улучшение качества жизни недееспособных граждан»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Доля детей-сирот и детей, оставшихся без попечения родителей, находящихся в семьях,</w:t>
              <w:br/>
              <w:t>к общему количеству детей-сирот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</w:tr>
      <w:tr>
        <w:trPr>
          <w:trHeight w:val="305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Доля недееспособных граждан, находящихся под опекой родственников, от общего количества недееспособных граждан, находящихся под опекой физических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92,8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 Структура муниципальной программы</w:t>
      </w:r>
    </w:p>
    <w:tbl>
      <w:tblPr>
        <w:tblW w:w="14804" w:type="dxa"/>
        <w:jc w:val="left"/>
        <w:tblInd w:w="2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737"/>
        <w:gridCol w:w="5846"/>
        <w:gridCol w:w="5245"/>
        <w:gridCol w:w="2975"/>
      </w:tblGrid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Связь с показателями программы</w:t>
            </w:r>
          </w:p>
        </w:tc>
      </w:tr>
    </w:tbl>
    <w:p>
      <w:pPr>
        <w:pStyle w:val="Normal"/>
        <w:spacing w:before="0" w:after="0"/>
        <w:ind w:hanging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4804" w:type="dxa"/>
        <w:jc w:val="left"/>
        <w:tblInd w:w="2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737"/>
        <w:gridCol w:w="5846"/>
        <w:gridCol w:w="5245"/>
        <w:gridCol w:w="2975"/>
      </w:tblGrid>
      <w:tr>
        <w:trPr>
          <w:tblHeader w:val="true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Комплекс процессных мероприятий «Развитие форм семейного устройства»</w:t>
            </w:r>
          </w:p>
        </w:tc>
      </w:tr>
      <w:tr>
        <w:trPr>
          <w:trHeight w:val="604" w:hRule="atLeast"/>
        </w:trPr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Ответственный за реализацию: Управление опеки и попечительства администрации города Новокузнецка</w:t>
            </w: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2026-2030</w:t>
            </w:r>
          </w:p>
        </w:tc>
      </w:tr>
      <w:tr>
        <w:trPr>
          <w:trHeight w:val="604" w:hRule="atLeast"/>
        </w:trPr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1</w:t>
            </w:r>
          </w:p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«Организация работы по устройству детей-сирот и детей, оставшихся без попечения родителей, в семьи»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Увеличение количества детей-сирот и детей, оставшихся без попечения родителей,  воспитывающихся в семьях, снижение финансовой нагрузки на бюджет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детей-сирот и детей, оставшихся без попечения родителей, находящихся в семьях, к общему количеству детей-сирот</w:t>
            </w:r>
          </w:p>
        </w:tc>
      </w:tr>
      <w:tr>
        <w:trPr>
          <w:trHeight w:val="604" w:hRule="atLeast"/>
        </w:trPr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2</w:t>
            </w:r>
          </w:p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«Организация работы по  назначению и выплате денежных средств детям-сиротам и детям, оставшимся без попечения родителей, и приемным родителям»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Улучшение качества жизни детей-сирот и детей, оставшихся без попечения родителей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детей-сирот и детей, оставшихся без попечения родителей, находящихся в семьях, к общему количеству детей-сирот</w:t>
            </w:r>
          </w:p>
        </w:tc>
      </w:tr>
      <w:tr>
        <w:trPr>
          <w:trHeight w:val="604" w:hRule="atLeast"/>
        </w:trPr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3</w:t>
            </w:r>
          </w:p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«Организация работы по защите имущественных прав несовершеннолетних»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Уменьшение количества детей-сирот, детей, оставшихся без попечения родителей и лиц из их числа в списке на получение жилых помещений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детей-сирот и детей, оставшихся без попечения родителей, находящихся в семьях, к общему количеству детей-сирот</w:t>
            </w:r>
          </w:p>
        </w:tc>
      </w:tr>
      <w:tr>
        <w:trPr>
          <w:trHeight w:val="226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4</w:t>
            </w:r>
          </w:p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«Организация работы по устройству недееспособных граждан в семьи родственников»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Улучшение качества жизни недееспособных подопечных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недееспособных граждан, находящихся под опекой родственников, от общего количества недееспособных граждан, находящихся под опекой физических лиц</w:t>
            </w:r>
          </w:p>
        </w:tc>
      </w:tr>
      <w:tr>
        <w:trPr>
          <w:trHeight w:val="325" w:hRule="atLeast"/>
        </w:trPr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0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Комплекс процессных мероприятий «Организация и осуществление деятельности по опеке и попечительству»</w:t>
            </w:r>
          </w:p>
        </w:tc>
      </w:tr>
      <w:tr>
        <w:trPr>
          <w:trHeight w:val="604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1</w:t>
            </w:r>
          </w:p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«Обеспечение  деятельности органов опеки и попечительства»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Качественное выполнение функций и переданных государственных полномочий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детей-сирот и детей, оставшихся без попечения родителей, находящихся в семьях, к общему количеству детей-сирот.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недееспособных граждан, находящихся под опекой родственников, от общего количества недееспособных граждан, находящихся под опекой физических лиц</w:t>
            </w:r>
          </w:p>
        </w:tc>
      </w:tr>
    </w:tbl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5. Финансовое обеспечение муниципальной программы</w:t>
      </w:r>
    </w:p>
    <w:tbl>
      <w:tblPr>
        <w:tblStyle w:val="affa"/>
        <w:tblW w:w="14884" w:type="dxa"/>
        <w:jc w:val="left"/>
        <w:tblInd w:w="33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14"/>
        <w:gridCol w:w="6393"/>
        <w:gridCol w:w="1463"/>
        <w:gridCol w:w="1304"/>
        <w:gridCol w:w="1249"/>
        <w:gridCol w:w="1275"/>
        <w:gridCol w:w="1164"/>
        <w:gridCol w:w="1420"/>
      </w:tblGrid>
      <w:tr>
        <w:trPr/>
        <w:tc>
          <w:tcPr>
            <w:tcW w:w="61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п/п</w:t>
            </w:r>
          </w:p>
        </w:tc>
        <w:tc>
          <w:tcPr>
            <w:tcW w:w="639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муниципальной программы, структурного элемента, источник финансового обеспечения, исполнителя</w:t>
            </w:r>
          </w:p>
        </w:tc>
        <w:tc>
          <w:tcPr>
            <w:tcW w:w="7875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319" w:hRule="atLeast"/>
        </w:trPr>
        <w:tc>
          <w:tcPr>
            <w:tcW w:w="61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2026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2027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2028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2029</w:t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2030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Всего</w:t>
            </w:r>
          </w:p>
        </w:tc>
      </w:tr>
    </w:tbl>
    <w:p>
      <w:pPr>
        <w:pStyle w:val="Normal"/>
        <w:spacing w:before="0" w:after="0"/>
        <w:ind w:hanging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fa"/>
        <w:tblW w:w="14884" w:type="dxa"/>
        <w:jc w:val="left"/>
        <w:tblInd w:w="33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14"/>
        <w:gridCol w:w="6393"/>
        <w:gridCol w:w="1463"/>
        <w:gridCol w:w="1304"/>
        <w:gridCol w:w="1249"/>
        <w:gridCol w:w="1275"/>
        <w:gridCol w:w="1164"/>
        <w:gridCol w:w="1420"/>
      </w:tblGrid>
      <w:tr>
        <w:trPr>
          <w:tblHeader w:val="true"/>
          <w:trHeight w:val="319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</w:t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</w:t>
            </w:r>
          </w:p>
        </w:tc>
      </w:tr>
      <w:tr>
        <w:trPr>
          <w:trHeight w:val="434" w:hRule="atLeast"/>
        </w:trPr>
        <w:tc>
          <w:tcPr>
            <w:tcW w:w="614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</w:t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Муниципальная программа Новокузнецкого городского округа «Защита прав граждан в сфере опеки и попечительства на территории Новокузнецкого городского округа», всего в т.ч.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291 808,5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288 939,3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289 217,3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869 965,1</w:t>
            </w:r>
          </w:p>
        </w:tc>
      </w:tr>
      <w:tr>
        <w:trPr>
          <w:trHeight w:val="239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266 332,5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270 861,3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270 861,3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808 055,1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25 476,0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18 078,0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18 356,0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61 910,0</w:t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Объем налоговых расходов Новокузнецкого городского округа (справочно)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291 808,5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288 939,3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289 217,3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869 965,1</w:t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2.</w:t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Комплексы процессных мероприятий, всего, в т.ч.</w:t>
            </w:r>
          </w:p>
        </w:tc>
        <w:tc>
          <w:tcPr>
            <w:tcW w:w="14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291 808,5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288 939,3</w:t>
            </w:r>
          </w:p>
        </w:tc>
        <w:tc>
          <w:tcPr>
            <w:tcW w:w="12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289 217,3</w:t>
            </w:r>
          </w:p>
        </w:tc>
        <w:tc>
          <w:tcPr>
            <w:tcW w:w="127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869 965,1</w:t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4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266 332,5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270 861,3</w:t>
            </w:r>
          </w:p>
        </w:tc>
        <w:tc>
          <w:tcPr>
            <w:tcW w:w="12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270 861,3</w:t>
            </w:r>
          </w:p>
        </w:tc>
        <w:tc>
          <w:tcPr>
            <w:tcW w:w="127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808 055,1</w:t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4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25 476,0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18 078,0</w:t>
            </w:r>
          </w:p>
        </w:tc>
        <w:tc>
          <w:tcPr>
            <w:tcW w:w="12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18 356,0</w:t>
            </w:r>
          </w:p>
        </w:tc>
        <w:tc>
          <w:tcPr>
            <w:tcW w:w="127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61 910,0</w:t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  <w:szCs w:val="24"/>
              </w:rPr>
            </w:pPr>
            <w:r>
              <w:rPr>
                <w:rFonts w:ascii="Times New Roman" w:hAnsi="Times New Roman"/>
                <w:i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</w:t>
            </w:r>
          </w:p>
        </w:tc>
        <w:tc>
          <w:tcPr>
            <w:tcW w:w="14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291 808,5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288 939,3</w:t>
            </w:r>
          </w:p>
        </w:tc>
        <w:tc>
          <w:tcPr>
            <w:tcW w:w="12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289 217,3</w:t>
            </w:r>
          </w:p>
        </w:tc>
        <w:tc>
          <w:tcPr>
            <w:tcW w:w="127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869 965,1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2.1.</w:t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Комплекс процессных мероприятий «Развитие форм 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235 588,5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240 117,3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240 117,3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715 823,1</w:t>
            </w:r>
          </w:p>
        </w:tc>
      </w:tr>
      <w:tr>
        <w:trPr/>
        <w:tc>
          <w:tcPr>
            <w:tcW w:w="614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семейного устройства», всего в т.ч.: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217 510,5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222 039,3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222 039,3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661 589,1</w:t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54 234,0</w:t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>
          <w:trHeight w:val="562" w:hRule="atLeast"/>
        </w:trPr>
        <w:tc>
          <w:tcPr>
            <w:tcW w:w="6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</w:t>
            </w:r>
          </w:p>
        </w:tc>
        <w:tc>
          <w:tcPr>
            <w:tcW w:w="14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235 588,5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240 117,3</w:t>
            </w:r>
          </w:p>
        </w:tc>
        <w:tc>
          <w:tcPr>
            <w:tcW w:w="12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240 117,3</w:t>
            </w:r>
          </w:p>
        </w:tc>
        <w:tc>
          <w:tcPr>
            <w:tcW w:w="127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715 823,1</w:t>
            </w:r>
          </w:p>
        </w:tc>
      </w:tr>
      <w:tr>
        <w:trPr/>
        <w:tc>
          <w:tcPr>
            <w:tcW w:w="614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2.2.</w:t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Комплекс процессных мероприятий «Организация и осуществление деятельности по опеке и попечительству», всего в т.ч.: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56 220,0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49 100,0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154 142,0</w:t>
            </w:r>
          </w:p>
        </w:tc>
      </w:tr>
      <w:tr>
        <w:trPr>
          <w:trHeight w:val="32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146 466,0</w:t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7 398,0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0,0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278,0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7 676,0</w:t>
            </w:r>
          </w:p>
        </w:tc>
      </w:tr>
      <w:tr>
        <w:trPr/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56 220,0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49 100,0</w:t>
            </w:r>
          </w:p>
        </w:tc>
        <w:tc>
          <w:tcPr>
            <w:tcW w:w="12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154 142,0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ffa"/>
        <w:tblW w:w="14786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393"/>
        <w:gridCol w:w="7392"/>
      </w:tblGrid>
      <w:tr>
        <w:trPr/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Заместитель Главы города по социальным вопросам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О.А. Масюков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Normal"/>
        <w:numPr>
          <w:ilvl w:val="0"/>
          <w:numId w:val="0"/>
        </w:numPr>
        <w:spacing w:before="0" w:after="0"/>
        <w:ind w:hanging="0"/>
        <w:jc w:val="right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№1</w:t>
        <w:br/>
        <w:t xml:space="preserve">к муниципальной программе </w:t>
      </w:r>
      <w:r>
        <w:rPr>
          <w:rFonts w:eastAsia="Calibri" w:ascii="Times New Roman" w:hAnsi="Times New Roman"/>
          <w:color w:val="000000"/>
          <w:sz w:val="28"/>
          <w:szCs w:val="28"/>
        </w:rPr>
        <w:t>Новокузнецкого</w:t>
        <w:br/>
        <w:t>городского округа «Защита прав граждан в сфере</w:t>
        <w:br/>
        <w:t>опеки и попечительства на территории</w:t>
        <w:br/>
        <w:t>Новокузнецкого городского округа»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  <w:br/>
        <w:t>комплекса процессных мероприятий «Развитие форм семейного устройства»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1. Общие положения комплекса процессных мероприятий</w:t>
      </w:r>
    </w:p>
    <w:tbl>
      <w:tblPr>
        <w:tblStyle w:val="affa"/>
        <w:tblW w:w="14992" w:type="dxa"/>
        <w:jc w:val="left"/>
        <w:tblInd w:w="33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7392"/>
        <w:gridCol w:w="7599"/>
      </w:tblGrid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Исполнитель (исполнители) комплекса процессных мероприятий</w:t>
            </w:r>
          </w:p>
        </w:tc>
        <w:tc>
          <w:tcPr>
            <w:tcW w:w="75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Управление опеки и попечительства администрации города Новокузнецка</w:t>
            </w:r>
          </w:p>
        </w:tc>
      </w:tr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Связь с программой</w:t>
            </w:r>
          </w:p>
        </w:tc>
        <w:tc>
          <w:tcPr>
            <w:tcW w:w="75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Муниципальная программа Новокузнецкого городского округа «Защита прав граждан в сфере опеки и попечительства на территории Новокузнецкого городского округа»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 Показатели комплекса процессных мероприятий</w:t>
      </w:r>
    </w:p>
    <w:tbl>
      <w:tblPr>
        <w:tblW w:w="15088" w:type="dxa"/>
        <w:jc w:val="left"/>
        <w:tblInd w:w="54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614"/>
        <w:gridCol w:w="1593"/>
        <w:gridCol w:w="1195"/>
        <w:gridCol w:w="851"/>
        <w:gridCol w:w="1012"/>
        <w:gridCol w:w="854"/>
        <w:gridCol w:w="756"/>
        <w:gridCol w:w="1331"/>
        <w:gridCol w:w="1328"/>
        <w:gridCol w:w="1329"/>
        <w:gridCol w:w="1329"/>
        <w:gridCol w:w="1331"/>
        <w:gridCol w:w="1564"/>
      </w:tblGrid>
      <w:tr>
        <w:trPr>
          <w:trHeight w:val="998" w:hRule="atLeast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№ </w:t>
            </w:r>
            <w:r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задачи/показателя комплекса процессных мероприятий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Признак возрастания/убывания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Уровень показателя</w:t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Условное обозначение единицы измерения (по ОКЕИ)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Базовое значение</w:t>
            </w:r>
          </w:p>
        </w:tc>
        <w:tc>
          <w:tcPr>
            <w:tcW w:w="6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Значение показателя по годам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Исполнитель, ответственный за достижение показателя</w:t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1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значение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2026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2028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2029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2030</w:t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</w:tbl>
    <w:p>
      <w:pPr>
        <w:pStyle w:val="Normal"/>
        <w:spacing w:before="0" w:after="0"/>
        <w:ind w:hanging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088" w:type="dxa"/>
        <w:jc w:val="left"/>
        <w:tblInd w:w="54" w:type="dxa"/>
        <w:tblLayout w:type="fixed"/>
        <w:tblCellMar>
          <w:top w:w="51" w:type="dxa"/>
          <w:left w:w="62" w:type="dxa"/>
          <w:bottom w:w="51" w:type="dxa"/>
          <w:right w:w="62" w:type="dxa"/>
        </w:tblCellMar>
        <w:tblLook w:val="04a0"/>
      </w:tblPr>
      <w:tblGrid>
        <w:gridCol w:w="614"/>
        <w:gridCol w:w="1593"/>
        <w:gridCol w:w="1195"/>
        <w:gridCol w:w="851"/>
        <w:gridCol w:w="1012"/>
        <w:gridCol w:w="854"/>
        <w:gridCol w:w="756"/>
        <w:gridCol w:w="1331"/>
        <w:gridCol w:w="1328"/>
        <w:gridCol w:w="1329"/>
        <w:gridCol w:w="1329"/>
        <w:gridCol w:w="1308"/>
        <w:gridCol w:w="1587"/>
      </w:tblGrid>
      <w:tr>
        <w:trPr>
          <w:tblHeader w:val="true"/>
          <w:trHeight w:val="199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44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задачи 1 «Организация работы по устройству детей-сирот и детей, оставшихся без попечения родителей в семьи»</w:t>
            </w:r>
          </w:p>
        </w:tc>
      </w:tr>
      <w:tr>
        <w:trPr>
          <w:trHeight w:val="595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выявленны</w:t>
            </w:r>
            <w:r>
              <w:rPr>
                <w:rFonts w:ascii="Times New Roman" w:hAnsi="Times New Roman"/>
                <w:strike/>
                <w:szCs w:val="24"/>
              </w:rPr>
              <w:t xml:space="preserve">х </w:t>
            </w:r>
            <w:r>
              <w:rPr>
                <w:rFonts w:ascii="Times New Roman" w:hAnsi="Times New Roman"/>
                <w:szCs w:val="24"/>
              </w:rPr>
              <w:t>детей-сирот и детей, оставшихся без попечения родителей, от общего количества детского населения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Убывание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Муниципальная программа (далее – МП)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0,2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0,2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0,2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0,2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Управление опеки и попечительства администрации города Новокузнецка</w:t>
            </w:r>
          </w:p>
        </w:tc>
      </w:tr>
      <w:tr>
        <w:trPr>
          <w:trHeight w:val="595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1.2.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устроенных детей-сирот и детей, оставшихся без попечения родителей, в семьи от общего количества детей-сирот и детей, оставшихся без попечения родителей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83,0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Управление опеки и попечительства администрации города Новокузнецка</w:t>
            </w:r>
          </w:p>
        </w:tc>
      </w:tr>
      <w:tr>
        <w:trPr>
          <w:trHeight w:val="264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44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задачи 2 «Организация работы по назначению и  выплате денежных средств детям-сиротам и детям, оставшимся без попечения родителей, и приемным родителям»</w:t>
            </w:r>
          </w:p>
        </w:tc>
      </w:tr>
      <w:tr>
        <w:trPr>
          <w:trHeight w:val="595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выплаченных денежных средств на содержание несовершеннолетних, вознаграждения приемным родителям от количества назначенных денежных средств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100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100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Управление опеки и попечительства администрации города Новокузнецка</w:t>
            </w:r>
          </w:p>
        </w:tc>
      </w:tr>
      <w:tr>
        <w:trPr>
          <w:trHeight w:val="181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144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задачи 3 «Организация работы по защите имущественных прав несовершеннолетних»</w:t>
            </w:r>
          </w:p>
        </w:tc>
      </w:tr>
      <w:tr>
        <w:trPr>
          <w:trHeight w:val="3242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отремонтированных жилых помещений, принадлежащих лицам из числа детей-сирот и детей, оставшихся без попечения родителей, от количества жилых помещений, требующих ремонта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100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100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Управление опеки и попечительства администрации города Новокузнецка</w:t>
            </w:r>
          </w:p>
        </w:tc>
      </w:tr>
      <w:tr>
        <w:trPr>
          <w:trHeight w:val="595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3.2.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жилых помещений, принадлежащих детям-сиротам и детям, оставшимся без попечения родителей, в которых разделены лицевые счета, от общего количества жилых помещений, нуждающихся в разделении лицевых счетов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9,1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  <w:lang w:val="en-US"/>
              </w:rPr>
              <w:t>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6,0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6,0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6,0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Управление опеки и попечительства администрации города Новокузнецка</w:t>
            </w:r>
          </w:p>
        </w:tc>
      </w:tr>
      <w:tr>
        <w:trPr>
          <w:trHeight w:val="595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3.3.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жилых помещений, принадлежащих детям-сиротам и детям, оставшимся без попечения родителей, эффективно используемых  от общего количества жилых помещений, где фактически дети не проживают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Управление опеки и попечительства администрации города Новокузнецка</w:t>
            </w:r>
          </w:p>
        </w:tc>
      </w:tr>
      <w:tr>
        <w:trPr>
          <w:trHeight w:val="264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144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задачи 4 «Организация работы по устройству недееспособных граждан в семьи родственников»</w:t>
            </w:r>
          </w:p>
        </w:tc>
      </w:tr>
      <w:tr>
        <w:trPr>
          <w:trHeight w:val="595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4.1.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недееспособных гра</w:t>
            </w:r>
            <w:r>
              <w:rPr>
                <w:rFonts w:ascii="Times New Roman" w:hAnsi="Times New Roman"/>
                <w:color w:val="000000"/>
                <w:szCs w:val="24"/>
              </w:rPr>
              <w:t>ждан, устроенны</w:t>
            </w:r>
            <w:r>
              <w:rPr>
                <w:rFonts w:ascii="Times New Roman" w:hAnsi="Times New Roman"/>
                <w:szCs w:val="24"/>
              </w:rPr>
              <w:t>х  в семьи родственников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166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159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144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Управление опеки и попечительства администрации города Новокузнецка</w:t>
            </w:r>
          </w:p>
        </w:tc>
      </w:tr>
    </w:tbl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</w:r>
      <w:r>
        <w:br w:type="page"/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 Помесячный план достижения показателей комплекса процессных мероприятий в текущем 2026 году</w:t>
      </w:r>
    </w:p>
    <w:tbl>
      <w:tblPr>
        <w:tblW w:w="15368" w:type="dxa"/>
        <w:jc w:val="left"/>
        <w:tblInd w:w="-2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545"/>
        <w:gridCol w:w="2149"/>
        <w:gridCol w:w="989"/>
        <w:gridCol w:w="1277"/>
        <w:gridCol w:w="835"/>
        <w:gridCol w:w="1008"/>
        <w:gridCol w:w="682"/>
        <w:gridCol w:w="855"/>
        <w:gridCol w:w="619"/>
        <w:gridCol w:w="750"/>
        <w:gridCol w:w="781"/>
        <w:gridCol w:w="992"/>
        <w:gridCol w:w="993"/>
        <w:gridCol w:w="990"/>
        <w:gridCol w:w="994"/>
        <w:gridCol w:w="905"/>
      </w:tblGrid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комплекса процессных мероприятий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Условное обозначение единицы измерения (по </w:t>
            </w:r>
            <w:hyperlink r:id="rId11">
              <w:r>
                <w:rPr>
                  <w:rStyle w:val="Style4"/>
                  <w:rFonts w:ascii="Times New Roman" w:hAnsi="Times New Roman"/>
                  <w:szCs w:val="24"/>
                </w:rPr>
                <w:t>ОКЕИ</w:t>
              </w:r>
            </w:hyperlink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94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31.12. текущего года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hanging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368" w:type="dxa"/>
        <w:jc w:val="left"/>
        <w:tblInd w:w="-2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545"/>
        <w:gridCol w:w="2149"/>
        <w:gridCol w:w="989"/>
        <w:gridCol w:w="1277"/>
        <w:gridCol w:w="835"/>
        <w:gridCol w:w="1008"/>
        <w:gridCol w:w="682"/>
        <w:gridCol w:w="855"/>
        <w:gridCol w:w="619"/>
        <w:gridCol w:w="750"/>
        <w:gridCol w:w="781"/>
        <w:gridCol w:w="992"/>
        <w:gridCol w:w="993"/>
        <w:gridCol w:w="990"/>
        <w:gridCol w:w="994"/>
        <w:gridCol w:w="905"/>
      </w:tblGrid>
      <w:tr>
        <w:trPr>
          <w:tblHeader w:val="true"/>
          <w:trHeight w:val="147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>
          <w:trHeight w:val="209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8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задачи 1 «Организация работы по устройству детей-сирот и детей, оставшихся без попечения родителей, в семьи»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выявленных детей-сирот и детей, оставшихся без попечения родителей, от общего количества детского населения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устроенных детей-сирот и детей, оставшихся без попечения родителей, в семьи от общего количества детей-сирот и детей, оставшихся без попечения родителей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</w:tr>
      <w:tr>
        <w:trPr>
          <w:trHeight w:val="489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8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задачи 2 «Организация работы по назначению и выплате денежных средств детям-сиротам и детям, оставшимся без попечения родителей, и приемным родителям»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выплаченных денежных средств на содержание несовершеннолетних, вознаграждения приемным родителям от количества назначенных денежных средств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</w:tr>
      <w:tr>
        <w:trPr>
          <w:trHeight w:val="327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8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задачи 3 «Организация работы по защите имущественных прав несовершеннолетних»</w:t>
            </w:r>
          </w:p>
        </w:tc>
      </w:tr>
      <w:tr>
        <w:trPr/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Доля отремонтированных жилых помещений, принадлежащих лицам из числа детей-сирот и детей, оставшихся без попечения родителей, от  количества жилых помещений, требующих ремонта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Доля жилых помещений, принадлежащих  детям-сиротам и детям, оставшимся без попечения родител</w:t>
            </w:r>
            <w:r>
              <w:rPr>
                <w:rFonts w:ascii="Times New Roman" w:hAnsi="Times New Roman"/>
                <w:color w:val="000000"/>
                <w:szCs w:val="24"/>
              </w:rPr>
              <w:t>ей, в</w:t>
            </w:r>
            <w:r>
              <w:rPr>
                <w:rFonts w:ascii="Times New Roman" w:hAnsi="Times New Roman"/>
                <w:szCs w:val="24"/>
              </w:rPr>
              <w:t xml:space="preserve"> которых разделены лицевые счета,  от общего количества жи</w:t>
            </w:r>
            <w:r>
              <w:rPr>
                <w:rFonts w:ascii="Times New Roman" w:hAnsi="Times New Roman"/>
                <w:color w:val="000000"/>
                <w:szCs w:val="24"/>
              </w:rPr>
              <w:t>лых  помещений, нуждающихся в</w:t>
            </w:r>
            <w:r>
              <w:rPr>
                <w:rFonts w:ascii="Times New Roman" w:hAnsi="Times New Roman"/>
                <w:szCs w:val="24"/>
              </w:rPr>
              <w:t xml:space="preserve"> разделении лицевых счетов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6,0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6,0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6,0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жилых помещений, принадлежащих детям-сиротам и детям, оставшимся без попечения родителей, эффективно используемых  от общего количества жилых помещений, где фактически дети не проживают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4,0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8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задачи 4 «Организация работы по устройству недееспособных граждан в семьи родственников»</w:t>
            </w:r>
          </w:p>
        </w:tc>
      </w:tr>
      <w:tr>
        <w:trPr/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</w:t>
            </w:r>
            <w:r>
              <w:rPr>
                <w:rFonts w:ascii="Times New Roman" w:hAnsi="Times New Roman"/>
                <w:color w:val="000000"/>
                <w:szCs w:val="24"/>
              </w:rPr>
              <w:t>чество недееспособных граждан, устроен</w:t>
            </w:r>
            <w:r>
              <w:rPr>
                <w:rFonts w:ascii="Times New Roman" w:hAnsi="Times New Roman"/>
                <w:szCs w:val="24"/>
              </w:rPr>
              <w:t>ных  в семьи родственников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 w:eastAsia="Calibri" w:eastAsiaTheme="minorHAnsi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МП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</w:t>
            </w:r>
          </w:p>
        </w:tc>
      </w:tr>
    </w:tbl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sz w:val="8"/>
          <w:szCs w:val="8"/>
        </w:rPr>
      </w:r>
      <w:r>
        <w:br w:type="page"/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 Мероприятия (результаты) комплекса процессных мероприятий</w:t>
      </w:r>
    </w:p>
    <w:tbl>
      <w:tblPr>
        <w:tblStyle w:val="affa"/>
        <w:tblW w:w="15055" w:type="dxa"/>
        <w:jc w:val="left"/>
        <w:tblInd w:w="16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775"/>
        <w:gridCol w:w="3223"/>
        <w:gridCol w:w="1441"/>
        <w:gridCol w:w="1403"/>
        <w:gridCol w:w="1108"/>
        <w:gridCol w:w="825"/>
        <w:gridCol w:w="962"/>
        <w:gridCol w:w="878"/>
        <w:gridCol w:w="884"/>
        <w:gridCol w:w="924"/>
        <w:gridCol w:w="822"/>
        <w:gridCol w:w="1809"/>
      </w:tblGrid>
      <w:tr>
        <w:trPr/>
        <w:tc>
          <w:tcPr>
            <w:tcW w:w="77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№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br/>
              <w:t>п/п</w:t>
            </w:r>
          </w:p>
        </w:tc>
        <w:tc>
          <w:tcPr>
            <w:tcW w:w="322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44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Тип мероприятия (результат)</w:t>
            </w:r>
          </w:p>
        </w:tc>
        <w:tc>
          <w:tcPr>
            <w:tcW w:w="140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Условное обозначение единицы измерения (по ОКЕИ)</w:t>
            </w:r>
          </w:p>
        </w:tc>
        <w:tc>
          <w:tcPr>
            <w:tcW w:w="193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Базовое значение</w:t>
            </w:r>
          </w:p>
        </w:tc>
        <w:tc>
          <w:tcPr>
            <w:tcW w:w="4470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Значение мероприятия (результата) параметра характеристики мероприятия (результата) по годам</w:t>
            </w:r>
          </w:p>
        </w:tc>
        <w:tc>
          <w:tcPr>
            <w:tcW w:w="18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Связь с показателями комплекса процессных мероприятий (при наличии)</w:t>
            </w:r>
          </w:p>
        </w:tc>
      </w:tr>
      <w:tr>
        <w:trPr/>
        <w:tc>
          <w:tcPr>
            <w:tcW w:w="77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322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4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0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значение</w:t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год</w:t>
            </w:r>
          </w:p>
        </w:tc>
        <w:tc>
          <w:tcPr>
            <w:tcW w:w="9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2026</w:t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2027</w:t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2028</w:t>
            </w:r>
          </w:p>
        </w:tc>
        <w:tc>
          <w:tcPr>
            <w:tcW w:w="924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2029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2030</w:t>
            </w:r>
          </w:p>
        </w:tc>
        <w:tc>
          <w:tcPr>
            <w:tcW w:w="18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</w:tr>
    </w:tbl>
    <w:p>
      <w:pPr>
        <w:pStyle w:val="Normal"/>
        <w:spacing w:before="0" w:after="0"/>
        <w:ind w:hanging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t>1</w:t>
      </w:r>
    </w:p>
    <w:tbl>
      <w:tblPr>
        <w:tblStyle w:val="affa"/>
        <w:tblW w:w="15060" w:type="dxa"/>
        <w:jc w:val="left"/>
        <w:tblInd w:w="16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775"/>
        <w:gridCol w:w="3223"/>
        <w:gridCol w:w="1551"/>
        <w:gridCol w:w="1291"/>
        <w:gridCol w:w="1110"/>
        <w:gridCol w:w="825"/>
        <w:gridCol w:w="961"/>
        <w:gridCol w:w="878"/>
        <w:gridCol w:w="884"/>
        <w:gridCol w:w="923"/>
        <w:gridCol w:w="669"/>
        <w:gridCol w:w="1969"/>
      </w:tblGrid>
      <w:tr>
        <w:trPr>
          <w:tblHeader w:val="true"/>
        </w:trPr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32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12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</w:t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</w:t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</w:t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9</w:t>
            </w:r>
          </w:p>
        </w:tc>
        <w:tc>
          <w:tcPr>
            <w:tcW w:w="92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10</w:t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</w:t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</w:t>
            </w:r>
          </w:p>
        </w:tc>
      </w:tr>
      <w:tr>
        <w:trPr>
          <w:trHeight w:val="275" w:hRule="atLeast"/>
        </w:trPr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</w:t>
            </w:r>
          </w:p>
        </w:tc>
        <w:tc>
          <w:tcPr>
            <w:tcW w:w="1428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задачи 1 «Организация работы по устройству детей-сирот и детей, оставшихся без попечения родителей, в семьи»</w:t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1.1.</w:t>
            </w:r>
          </w:p>
        </w:tc>
        <w:tc>
          <w:tcPr>
            <w:tcW w:w="32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Выявление детей-сирот и детей, оставшихся без попечения родителей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Иные мероприятия (результаты)</w:t>
            </w:r>
          </w:p>
        </w:tc>
        <w:tc>
          <w:tcPr>
            <w:tcW w:w="12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2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Доля выявленных детей-сирот и детей, оставшихся без попечения родителей, от общего количества детского населения</w:t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1.1.1.</w:t>
            </w:r>
          </w:p>
        </w:tc>
        <w:tc>
          <w:tcPr>
            <w:tcW w:w="32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Выявлено детей-сирот и детей, оставшихся без попечения родителей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человек</w:t>
            </w:r>
          </w:p>
        </w:tc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215</w:t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215</w:t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215</w:t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215</w:t>
            </w:r>
          </w:p>
        </w:tc>
        <w:tc>
          <w:tcPr>
            <w:tcW w:w="92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1.2.</w:t>
            </w:r>
          </w:p>
        </w:tc>
        <w:tc>
          <w:tcPr>
            <w:tcW w:w="32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Устройство детей-сирот и детей, оставшихся без попечения родителей, в семьи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Иные мероприятия (результаты)</w:t>
            </w:r>
          </w:p>
        </w:tc>
        <w:tc>
          <w:tcPr>
            <w:tcW w:w="12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2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Доля устроенных детей-сирот и детей, оставшихся без попечения родителей, в семьи от общего количества детей-сирот и детей, оставшихся без попечения родителей</w:t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1.2.1.</w:t>
            </w:r>
          </w:p>
        </w:tc>
        <w:tc>
          <w:tcPr>
            <w:tcW w:w="32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Устроено детей-сирот и детей, оставшихся без попечения родителей, в семьи</w:t>
            </w:r>
          </w:p>
        </w:tc>
        <w:tc>
          <w:tcPr>
            <w:tcW w:w="15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человек</w:t>
            </w:r>
          </w:p>
        </w:tc>
        <w:tc>
          <w:tcPr>
            <w:tcW w:w="111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1625</w:t>
            </w:r>
          </w:p>
        </w:tc>
        <w:tc>
          <w:tcPr>
            <w:tcW w:w="82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1525</w:t>
            </w: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1475</w:t>
            </w: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1425</w:t>
            </w:r>
          </w:p>
        </w:tc>
        <w:tc>
          <w:tcPr>
            <w:tcW w:w="923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9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</w:t>
            </w:r>
          </w:p>
        </w:tc>
        <w:tc>
          <w:tcPr>
            <w:tcW w:w="1428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задачи 2 «Организация работы по  назначению и выплате денежных средств детям-сиротам и детям, оставшимся без попечения родителей, и приемным родителям»</w:t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2.1.</w:t>
            </w:r>
          </w:p>
        </w:tc>
        <w:tc>
          <w:tcPr>
            <w:tcW w:w="32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Осуществление ежемесячных назначений и выплат денежных средств семьям, взявшим на воспитание детей-сирот и детей, оставшихся без попечения родителей, лицам, находившимся под попечительством, лицам, являвшимся приемными родителями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Выплаты физическим лицам</w:t>
            </w:r>
          </w:p>
        </w:tc>
        <w:tc>
          <w:tcPr>
            <w:tcW w:w="12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2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Доля выплаченных денежных средств на содержание несовершеннолетних, вознаграждения приемным родителям от количества назначенных денежных средств</w:t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2.1.1.</w:t>
            </w:r>
          </w:p>
        </w:tc>
        <w:tc>
          <w:tcPr>
            <w:tcW w:w="32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Произведены выплаты денежных средств на содержание ребенка, находящегося под опекой (попечительством), вознаграждения приемному родителю, денежного поощрения лицу, являющемуся приемным родителем, установленных Законом Кемеровской области от 14.12.2010</w:t>
              <w:br/>
              <w:t>№124-ОЗ «О некоторых вопросах в сфере опеки и поп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ечительства несовершеннолетних»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человек</w:t>
            </w:r>
          </w:p>
        </w:tc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2223</w:t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2123</w:t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2023</w:t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1923</w:t>
            </w:r>
          </w:p>
        </w:tc>
        <w:tc>
          <w:tcPr>
            <w:tcW w:w="92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2.2.</w:t>
            </w:r>
          </w:p>
        </w:tc>
        <w:tc>
          <w:tcPr>
            <w:tcW w:w="32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Осуществление назначения и выплаты единовременного пособия гражданам, усыновившим (удочерившим) детей-сирот и детей, оставшихся без попечения родителей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Выплаты физическим лицам</w:t>
            </w:r>
          </w:p>
        </w:tc>
        <w:tc>
          <w:tcPr>
            <w:tcW w:w="12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2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Доля выплаченных денежных средств на содержание несовершеннолетних, вознаграждения приемным родителям от количества назначенных денежных средств</w:t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2.2.1.</w:t>
            </w:r>
          </w:p>
        </w:tc>
        <w:tc>
          <w:tcPr>
            <w:tcW w:w="32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Произведены выплаты единовременного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– Кузбасса от 05.12.2025 №151-ОЗ «Об отдельных мерах по защите прав ребенка»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человек</w:t>
            </w:r>
          </w:p>
        </w:tc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13</w:t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</w:t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</w:t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</w:t>
            </w:r>
          </w:p>
        </w:tc>
        <w:tc>
          <w:tcPr>
            <w:tcW w:w="92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2.3.</w:t>
            </w:r>
          </w:p>
        </w:tc>
        <w:tc>
          <w:tcPr>
            <w:tcW w:w="32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eastAsia="en-US" w:bidi="ar-SA"/>
              </w:rPr>
              <w:t>Осуществление назначения и выплат единовременного пособия при передаче воспитанников организаций для детей-сирот и детей, оставшихся без попечения родителей, расположенных на территории Новокузнецкого городского округа, в возрасте от 14 до 18 лет на воспитание в семью, ежемесячных выплат на каждого ребенка, являющегося инвалидом, переданного на воспитание в семью опекуна (по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eastAsia="en-US" w:bidi="ar-SA"/>
              </w:rPr>
              <w:t>печителя), ежемесячных выплат на каждого ребенка, переданного в приемную семью, место жительства которой находится на территории Новокузнецкого городского округа, ежемесячных выплат на каждого ребенка, являющегося инвалидом, переданного в приемную семью, место жительства которой находится на территории Новокузнецкого городского округа, установленных ре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шением Новокузнецкого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городского Совета народных депутатов от 28.03.2023 №3/18 «О дополнительных мерах социальной поддержки по защите прав детей-сирот, детей, оставшихся без попечения родителей, переданных на воспитание в семьи усыновителей, опекунов (попечителей) и приемные семьи»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Выплаты физическим лицам</w:t>
            </w:r>
          </w:p>
        </w:tc>
        <w:tc>
          <w:tcPr>
            <w:tcW w:w="12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2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Доля выплаченных денежных средств на содержание несовершеннолетних, вознаграждения приемным родителям от количества назначенных денежных средств</w:t>
            </w:r>
          </w:p>
        </w:tc>
      </w:tr>
      <w:tr>
        <w:trPr>
          <w:trHeight w:val="2041" w:hRule="atLeast"/>
        </w:trPr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2.3.1.</w:t>
            </w:r>
          </w:p>
        </w:tc>
        <w:tc>
          <w:tcPr>
            <w:tcW w:w="32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eastAsia="en-US" w:bidi="ar-SA"/>
              </w:rPr>
              <w:t>Произведены назначения и единовременные выплаты при передаче воспитанников организаций для детей-сирот и детей, оставшихся без попечения родителей, расположенных на территории Новокузнецкого городского округа, в возрасте от 14 до 18 лет на воспитание в семью, ежемесячные выплаты на каждого ребенка, являющегося инвалидом, переданного на воспитание в семью опекуна (попечите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eastAsia="en-US" w:bidi="ar-SA"/>
              </w:rPr>
              <w:t>ля), ежемесячные выплаты на каждого ребенка, переданного в приемную семью, место жительства которой находится на территории Новокузнецкого городского округа, ежемесячные выплаты на каждого ребенка, являющегося инвалидом, передан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eastAsia="en-US" w:bidi="ar-SA"/>
              </w:rPr>
              <w:t>ного в приемную семью, место жительства которой находится на территории Новокузнецкого городского округа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человек</w:t>
            </w:r>
          </w:p>
        </w:tc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568</w:t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508</w:t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388</w:t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328</w:t>
            </w:r>
          </w:p>
        </w:tc>
        <w:tc>
          <w:tcPr>
            <w:tcW w:w="92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-</w:t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</w:t>
            </w:r>
          </w:p>
        </w:tc>
        <w:tc>
          <w:tcPr>
            <w:tcW w:w="14284" w:type="dxa"/>
            <w:gridSpan w:val="11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задачи 3 «Организация работы по защите имущественных прав несовершеннолетних»</w:t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3.1.</w:t>
            </w:r>
          </w:p>
        </w:tc>
        <w:tc>
          <w:tcPr>
            <w:tcW w:w="32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Проведение ремонта в  жилых помещениях, принадлежащих лицам из числа детей-сирот и детей, оставшихся без попечения родителей</w:t>
            </w:r>
          </w:p>
        </w:tc>
        <w:tc>
          <w:tcPr>
            <w:tcW w:w="15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Иные мероприятия (результаты)</w:t>
            </w: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111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82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923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96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Доля отремонтированных жилых помещений, принадлежащих лицам из числа детей-сирот и детей, оставшихся без попечения родителей, от количества жилых помещений, требующих ремонта</w:t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3.1.1.</w:t>
            </w:r>
          </w:p>
        </w:tc>
        <w:tc>
          <w:tcPr>
            <w:tcW w:w="32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Отремонтировано жилых помещений, принадлежащих лицам из числа детей-сирот и детей, оставшихся без попечения родителей,  от количества жилых помещений, требующих ремонта</w:t>
            </w:r>
          </w:p>
        </w:tc>
        <w:tc>
          <w:tcPr>
            <w:tcW w:w="15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штук</w:t>
            </w:r>
          </w:p>
        </w:tc>
        <w:tc>
          <w:tcPr>
            <w:tcW w:w="111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18</w:t>
            </w:r>
          </w:p>
        </w:tc>
        <w:tc>
          <w:tcPr>
            <w:tcW w:w="82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2025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16</w:t>
            </w: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16</w:t>
            </w: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16</w:t>
            </w:r>
          </w:p>
        </w:tc>
        <w:tc>
          <w:tcPr>
            <w:tcW w:w="923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9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3.2.</w:t>
            </w:r>
          </w:p>
        </w:tc>
        <w:tc>
          <w:tcPr>
            <w:tcW w:w="32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Разделение лицевых счетов в жилых помещениях, где часть жилого помещения принадлежит детям-сиротам и детям, оставшимся без попечения родителей</w:t>
            </w:r>
          </w:p>
        </w:tc>
        <w:tc>
          <w:tcPr>
            <w:tcW w:w="15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Иные мероприятия (результаты)</w:t>
            </w: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111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82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923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9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Доля жилых помещений, принадлежащих детям-сиротам и детям, оставшимся без попечения родителей, в которых разделены лицевые счета, от общего количества жилых помещений, нуждающихся в разделении лицевых счетов</w:t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3.2.1.</w:t>
            </w:r>
          </w:p>
        </w:tc>
        <w:tc>
          <w:tcPr>
            <w:tcW w:w="32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Разделены лицевые счета в жилых помещениях, где часть жилого помещения принадлежит детям-сиротам и детям, оставшимся без попечения родителей</w:t>
            </w:r>
          </w:p>
        </w:tc>
        <w:tc>
          <w:tcPr>
            <w:tcW w:w="15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штук</w:t>
            </w:r>
          </w:p>
        </w:tc>
        <w:tc>
          <w:tcPr>
            <w:tcW w:w="111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72</w:t>
            </w:r>
          </w:p>
        </w:tc>
        <w:tc>
          <w:tcPr>
            <w:tcW w:w="82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42</w:t>
            </w: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42</w:t>
            </w: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42</w:t>
            </w:r>
          </w:p>
        </w:tc>
        <w:tc>
          <w:tcPr>
            <w:tcW w:w="923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9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3.3.</w:t>
            </w:r>
          </w:p>
        </w:tc>
        <w:tc>
          <w:tcPr>
            <w:tcW w:w="32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Осуществление заключения договоров найма на жилые помещения, принадлежащие детям-сиротам и детям, оставшимся без попечения родителей</w:t>
            </w:r>
          </w:p>
        </w:tc>
        <w:tc>
          <w:tcPr>
            <w:tcW w:w="15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Иные мероприятия (результаты)</w:t>
            </w: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111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82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</w:r>
          </w:p>
        </w:tc>
        <w:tc>
          <w:tcPr>
            <w:tcW w:w="923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96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Доля жилых помещений, принадлежащих детям-сиротам и детям, оставшимся без попечения родителей, эффективно используемых от общего количества жилых помещений, где фактически дети не проживают</w:t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3.3.1.</w:t>
            </w:r>
          </w:p>
        </w:tc>
        <w:tc>
          <w:tcPr>
            <w:tcW w:w="32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Заключено договоров найма на жилые помещения, принадлежащие детям-сиротам и детям, оставшимся без попечения родителей</w:t>
            </w:r>
          </w:p>
        </w:tc>
        <w:tc>
          <w:tcPr>
            <w:tcW w:w="15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штук</w:t>
            </w:r>
          </w:p>
        </w:tc>
        <w:tc>
          <w:tcPr>
            <w:tcW w:w="111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34</w:t>
            </w:r>
          </w:p>
        </w:tc>
        <w:tc>
          <w:tcPr>
            <w:tcW w:w="82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23</w:t>
            </w: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23</w:t>
            </w: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23</w:t>
            </w:r>
          </w:p>
        </w:tc>
        <w:tc>
          <w:tcPr>
            <w:tcW w:w="923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9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4.</w:t>
            </w:r>
          </w:p>
        </w:tc>
        <w:tc>
          <w:tcPr>
            <w:tcW w:w="14284" w:type="dxa"/>
            <w:gridSpan w:val="11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задачи 4 «Организация работы по устройству недееспособных граждан в семьи родственников»</w:t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4.1.</w:t>
            </w:r>
          </w:p>
        </w:tc>
        <w:tc>
          <w:tcPr>
            <w:tcW w:w="32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Осуществление работы по устройству недееспособных граждан в семьи родственников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Иные мероприятия (результаты)</w:t>
            </w:r>
          </w:p>
        </w:tc>
        <w:tc>
          <w:tcPr>
            <w:tcW w:w="12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2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Количество недееспособных граждан, устроенных  в семьи родственников</w:t>
            </w:r>
          </w:p>
        </w:tc>
      </w:tr>
      <w:tr>
        <w:trPr>
          <w:trHeight w:val="568" w:hRule="atLeast"/>
        </w:trPr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4.1.1.</w:t>
            </w:r>
          </w:p>
        </w:tc>
        <w:tc>
          <w:tcPr>
            <w:tcW w:w="32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Устроено недееспособных граждан в семьи родственников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человек</w:t>
            </w:r>
          </w:p>
        </w:tc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166</w:t>
            </w:r>
          </w:p>
        </w:tc>
        <w:tc>
          <w:tcPr>
            <w:tcW w:w="8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159</w:t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151</w:t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144</w:t>
            </w:r>
          </w:p>
        </w:tc>
        <w:tc>
          <w:tcPr>
            <w:tcW w:w="92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Раздел 5. Финансовое обеспечение реализации комплекса процессных мероприятий</w:t>
      </w:r>
    </w:p>
    <w:tbl>
      <w:tblPr>
        <w:tblStyle w:val="affa"/>
        <w:tblW w:w="14979" w:type="dxa"/>
        <w:jc w:val="left"/>
        <w:tblInd w:w="33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09"/>
        <w:gridCol w:w="6299"/>
        <w:gridCol w:w="1564"/>
        <w:gridCol w:w="1417"/>
        <w:gridCol w:w="1276"/>
        <w:gridCol w:w="1177"/>
        <w:gridCol w:w="1423"/>
        <w:gridCol w:w="1212"/>
      </w:tblGrid>
      <w:tr>
        <w:trPr/>
        <w:tc>
          <w:tcPr>
            <w:tcW w:w="6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п/п</w:t>
            </w:r>
          </w:p>
        </w:tc>
        <w:tc>
          <w:tcPr>
            <w:tcW w:w="629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 и источники финансового обеспечения, наименование исполнителя</w:t>
            </w:r>
          </w:p>
        </w:tc>
        <w:tc>
          <w:tcPr>
            <w:tcW w:w="8069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209" w:hRule="atLeast"/>
        </w:trPr>
        <w:tc>
          <w:tcPr>
            <w:tcW w:w="6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2026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2027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2028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2029</w:t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2030</w:t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Всего</w:t>
            </w:r>
          </w:p>
        </w:tc>
      </w:tr>
    </w:tbl>
    <w:p>
      <w:pPr>
        <w:pStyle w:val="Normal"/>
        <w:spacing w:before="0" w:after="0"/>
        <w:ind w:hanging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fa"/>
        <w:tblW w:w="14979" w:type="dxa"/>
        <w:jc w:val="left"/>
        <w:tblInd w:w="33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09"/>
        <w:gridCol w:w="6299"/>
        <w:gridCol w:w="1564"/>
        <w:gridCol w:w="1417"/>
        <w:gridCol w:w="1276"/>
        <w:gridCol w:w="1177"/>
        <w:gridCol w:w="1423"/>
        <w:gridCol w:w="1212"/>
      </w:tblGrid>
      <w:tr>
        <w:trPr>
          <w:tblHeader w:val="true"/>
          <w:trHeight w:val="228" w:hRule="atLeast"/>
        </w:trPr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</w:t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</w:t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</w:t>
            </w:r>
          </w:p>
        </w:tc>
      </w:tr>
      <w:tr>
        <w:trPr>
          <w:trHeight w:val="393" w:hRule="atLeast"/>
        </w:trPr>
        <w:tc>
          <w:tcPr>
            <w:tcW w:w="6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Комплекс процессных мероприятий «Развитие форм семейного устройства»,  в т.ч.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235 588,5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240 117,3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240 117,3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715 823,1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217 510,5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222 039,3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222 039,3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661 589,1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54 234,0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Новокузнецка», всего: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235 588,5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240 117,3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240 117,3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715 823,1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217 510,5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222 039,3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222 039,3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661 589,1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54 234,0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Наименование задачи 1 «Организация работы по устройству детей-сирот и детей, оставшихся без попечения родителей, в семьи»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1.1.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Наименование мероприятия (результата) «Выявление детей-сирот и детей, оставшихся без попечения родителей», в т.ч.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Новокузнецка», всего: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1.2.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 «Устройство детей-сирот в семьи», в т.ч.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Новокузнецка», всего: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Наименование задачи 2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«Организация работы по наз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начению и выплате денежных средств детям-сиротам и детям, оставшимся без попечения родителей, и приемным родителям»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2.1.</w:t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Наименование мероприятия (результата)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«Осуществление ежемесячных назначений и выплат денежных средств семьям, взявшим на воспитание детей-сирот и детей, оставшихся без попечения родителей, лицам, находившимся под попечительством, лицам, являвшимся приемными родителями», в т.ч.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216 810,5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221 339,3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221 339,3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659 489,1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216 810,5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221 339,3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221 339,3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659 489,1</w:t>
            </w:r>
          </w:p>
        </w:tc>
      </w:tr>
      <w:tr>
        <w:trPr>
          <w:trHeight w:val="245" w:hRule="atLeast"/>
        </w:trPr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Новокузнецка», итого: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216 810,5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221 339,3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221 339,3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659 489,1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216 810,5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221 339,3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221 339,3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659 489,1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2.2.</w:t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Наименование мероприятия (результата)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«Осуществление назначения и выплаты единовременного пособия гражданам, усыновившим (удочерившим) детей-сирот и детей, оставшихся без попечения родителей», в т.ч.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700,0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700,0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700,0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2 100,0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700,0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700,0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700,0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2 100,0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Новокузнецка», итого: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700,0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700,0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700,0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2 100,0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700,0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700,0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700,0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2 100,0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2.3.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eastAsia="en-US" w:bidi="ar-SA"/>
              </w:rPr>
              <w:t>Наименование мероприятия (результата)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eastAsia="en-US" w:bidi="ar-SA"/>
              </w:rPr>
              <w:t>«Осуществление назначения и  выплат единовременного пособия  при передаче воспитанников организаций для детей-сирот и детей, оставшихся без попечения родителей, расположенных на территории Новокузнецкого городского округа, в возрасте от 14 до 18 лет на воспитание в семью, ежемесячных выплат на каждого ребенка, являющегося инвалидом, переданного на воспитание в семью опекуна (попечителя), ежемесячных выплат на каждого ребенка, переданного в приемную семью, место жительства которой находится на территории Новокузнецкого городского округа, ежемесячных выплат на каждого ребенка, являющегося инвалидом, переданного в приемную семью, место жительства которой находится на территории Новокузнецкого городского округа, установленных решением Новокузнецкого городского Совета народных депутатов от 28.03.2023 №3/18 «О дополнительных мерах социальной поддержки по защите прав детей-сирот, детей, оставшихся без попечения родителей, переданных на воспитание в семьи усыновителей, опекунов (попечителей) и приемные семьи», в т.ч.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54 234,0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54 234,0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Новокузнецка», итого: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54 234,0</w:t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18 078,0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54 234,0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задачи 3 «Организация работы по защите имущественных прав несовершеннолетних»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3.1.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 «Проведение ремонта в  жилых помещениях, принадлежащих лицам из числа детей-сирот и детей, оставшихся без попечения родителей», в т.ч.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Новокузнецка», всего: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3.2.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 «Разделение лицевых счетов в жилых помещениях, где часть жилого помещения принадлежит детям-сиротам и детям, оставшимся без попечения родителей», в т.ч.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Новокузнецка», всего: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3.3.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 «Осуществление заключения договоров найма на жилые помещения, принадлежащие детям-сиротам и детям, оставшимся без попечения родителей», в т.ч.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Исполнитель «Управление опеки и попечительства 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администрации города Новокузнецка», всего: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ие задачи 4 «Орган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изация работы по устройству недееспособных граждан в семьи родственников»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4.1.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 «Осуществление работы по устройству недееспособных граждан в семьи родственников», в т.ч.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Новокузнецка», всего: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6. План реализации комплекса процессных мероприятий</w:t>
      </w:r>
    </w:p>
    <w:tbl>
      <w:tblPr>
        <w:tblStyle w:val="affa"/>
        <w:tblW w:w="14625" w:type="dxa"/>
        <w:jc w:val="left"/>
        <w:tblInd w:w="376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737"/>
        <w:gridCol w:w="3263"/>
        <w:gridCol w:w="2973"/>
        <w:gridCol w:w="2651"/>
      </w:tblGrid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Задача, мероприятие (результат)/контрольная точка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Дата наступления контрольной точки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Исполнитель, ответственный за реализацию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Вид документа, подтверждающего факт достижения контрольной точки</w:t>
            </w:r>
          </w:p>
        </w:tc>
      </w:tr>
    </w:tbl>
    <w:p>
      <w:pPr>
        <w:pStyle w:val="Normal"/>
        <w:spacing w:before="0" w:after="0"/>
        <w:ind w:hanging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fa"/>
        <w:tblW w:w="14625" w:type="dxa"/>
        <w:jc w:val="left"/>
        <w:tblInd w:w="376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737"/>
        <w:gridCol w:w="3263"/>
        <w:gridCol w:w="2973"/>
        <w:gridCol w:w="2651"/>
      </w:tblGrid>
      <w:tr>
        <w:trPr>
          <w:tblHeader w:val="true"/>
        </w:trPr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</w:tr>
      <w:tr>
        <w:trPr/>
        <w:tc>
          <w:tcPr>
            <w:tcW w:w="14624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Задача 1 «Организация работы по устройству детей-сирот и детей, оставшихся без попечения родителей в семьи»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Мероприятие (результат) 1.1 «Выявление детей-сирот и детей, оставшихся без попечения родителей»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Х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>
          <w:trHeight w:val="1415" w:hRule="atLeast"/>
        </w:trPr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1.1.1. Проведены  проверки условий жизни несовершеннолетних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01.06.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Акт проверки условий жизни несовершеннолетних</w:t>
            </w:r>
          </w:p>
        </w:tc>
      </w:tr>
      <w:tr>
        <w:trPr>
          <w:trHeight w:val="1211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1.1.2. Проведены  проверки условий жизни несовершеннолетних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01.12.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Акт проверки условий жизни несовершеннолетних</w:t>
            </w:r>
          </w:p>
        </w:tc>
      </w:tr>
      <w:tr>
        <w:trPr>
          <w:trHeight w:val="1211" w:hRule="atLeast"/>
        </w:trPr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1.1.3 Сведения по форме федерального статистического наблюдения №103-РИК «Сведения о выявлении и устройстве детей-сирот и детей, оставшихся без попечения родителей» сданы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01.02.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Годовой отчет по форме №103-РИК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Мероприятие (результат) 1.2 «Устройство</w:t>
              <w:br/>
              <w:t>детей-сирот в семьи»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Х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1.2.1. Проведены плановые/внеплановые проверки условий жизни несовершеннолетних опекаемых, приемных детей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01.06.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Акт проверки условий жизни несовершеннолетних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1.2.2. Проведены плановые/внеплановые проверки условий жизни несовершеннолетних опекаемых, приемных детей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01.12.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Акт проверки условий жизни несовершеннолетних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1.2.3. Принят отчет о хранении, об использовании имущества подопечного и об управлении имуществом подопечного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01.02.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Отчет опекуна или попечителя</w:t>
            </w:r>
          </w:p>
        </w:tc>
      </w:tr>
      <w:tr>
        <w:trPr>
          <w:trHeight w:val="1335" w:hRule="atLeast"/>
        </w:trPr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1.2.4. Сведения по форме федерального статистического наблюдения №103-РИК «Сведения о выявлении и устройстве детей-сирот и детей, оставшихся без попечения родителей» сданы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01.02.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Годовой отчет по форме №103-РИК</w:t>
            </w:r>
          </w:p>
        </w:tc>
      </w:tr>
      <w:tr>
        <w:trPr>
          <w:trHeight w:val="536" w:hRule="atLeast"/>
        </w:trPr>
        <w:tc>
          <w:tcPr>
            <w:tcW w:w="14624" w:type="dxa"/>
            <w:gridSpan w:val="4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Задача 2 «Организация работы по назначению и выплате денежных средств детям-сиротам и детям, оставшимся без попечения родителей, и приемным родителям»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Мероприятие (результат) 2.1 «Осуществление ежемесячных назначений и выплат денежных средств семьям, взявшим на воспитание детей-сирот и детей, оставшихся без попечения родителей, лицам, находившимся под попечительством, лицам, являвшимся приемными родителями»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X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2.1.1. Документ, устанавливающий условия осуществления выплат (в том числе размер и получателей), утвержден/принят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01.04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Приказ об установлении размера выплат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2.1.2. Документ, устанавливающий условия осуществления выплат (в том числе размер и получателей), утвержден/принят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01.04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Реестр получателей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2.1.3. «Выплаты осуществлены»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31.12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Управление опеки и попечительства администрации города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Расчетная ведомость</w:t>
            </w:r>
          </w:p>
        </w:tc>
      </w:tr>
      <w:tr>
        <w:trPr>
          <w:trHeight w:val="1173" w:hRule="atLeast"/>
        </w:trPr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Мероприятие (результат) 2.2 «Осуществление назначения и выплаты единовременного пособия гражданам, усыновившим (удочерившим) детей-сирот и детей, оставшихся без попечения родителей»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X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2.2.1. Документ, устанавливающий условия осуществления выплат (в том числе размер и получателей), утвержден/принят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01.04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Приказ об установлении размера выплат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2.2.2. Документ, устанавливающий условия осуществления выплат (в том числе размер и получателей), утвержден/принят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01.04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Реестр получателей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eastAsia="en-US" w:bidi="ar-SA"/>
              </w:rPr>
              <w:t>Контрольная точка 2.2.3. «Выплаты осуществлены»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31.12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Расчетная ведомость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eastAsia="en-US" w:bidi="ar-SA"/>
              </w:rPr>
              <w:t>Мероприятие (результат) 2.3 «Осуществление назначения и выплат единовременного пособия при передаче воспитанников организаций для детей-сирот и детей, оставшихся без попечения родителей, расположенных на территории Новокузнецкого городского округа, в возрасте от 14 до 18 лет на воспитание в семью, ежемесячных выплат на каждого ребенка, являющегося инвалидом, переданного на воспитание в семью опекуна (попечителя), ежемесячных выплат на каждого ребенка, переданного в приемную семью, место жительства которой находится на территории Новокузнецкого городского округа, ежемесячных выплат на каждого ребенка, являющегося инвалидом, переданного в приемную семью, место жительства которой находится на территории Новокузнецкого городского округа, установленных ре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шением Новокузнецкого городского Совета народных депутатов от 28.03.2023 №3/18 «О дополнительных мерах социальной поддержки по защите прав детей-сирот, детей, оставшихся без попечения родителей, переданных на воспитание в семьи усыновителей, опекунов (попечителей) и приемные семьи»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en-US" w:bidi="ar-SA"/>
              </w:rPr>
              <w:t>X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2.3.1. Документ, устанавливающий условия осуществления выплат (в том числе размер и получателей), утвержден/принят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01.04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Решение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2.3.2. Документ, устанавливающий условия осуществления выплат (в том числе размер и получателей), утвержден/принят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01.04.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Реестр получателей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2.3.3. «Выплаты осуществлены»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31.12.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Расчетная ведомость</w:t>
            </w:r>
          </w:p>
        </w:tc>
      </w:tr>
      <w:tr>
        <w:trPr/>
        <w:tc>
          <w:tcPr>
            <w:tcW w:w="14624" w:type="dxa"/>
            <w:gridSpan w:val="4"/>
            <w:tcBorders/>
          </w:tcPr>
          <w:p>
            <w:pPr>
              <w:pStyle w:val="ConsPlusNormal1"/>
              <w:suppressAutoHyphens w:val="true"/>
              <w:spacing w:before="120" w:after="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Задача 3</w:t>
            </w:r>
            <w:r>
              <w:rPr>
                <w:rFonts w:cs="Times New Roman" w:ascii="Times New Roman" w:hAnsi="Times New Roman"/>
                <w:strike/>
                <w:color w:val="00000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«Организация работы по защите имущественных прав несовершеннолетних»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Мероприятие (результат) 3.1 «Проведение ремонта в жилых помещениях, принадлежащих лицам из числа детей-сирот и детей, оставшихся без попечения  родителей»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X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3.1.1. Проведена плановая проверка сохранности жилых помещений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15.06.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Акт проверки сохранности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3.1.2. Проведена плановая проверка сохранности жилых помещений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15.12.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Акт проверки сохранности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3.1.3. Отчет сдан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15.01.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Квартальный мониторинг по количеству отремонтированных жилых помещений детей-сирот, которым исполнилось 18 лет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3.1.4. Отчет сдан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15.04.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Квартальный мониторинг по количеству отремонтированных жилых помещений детей-сирот, которым исполнилось 18 лет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3.1.5. Отчет сдан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15.07.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Квартальный мониторинг по количеству отремонтированных жилых помещений детей-сирот, которым исполнилось 18 лет</w:t>
            </w:r>
          </w:p>
        </w:tc>
      </w:tr>
      <w:tr>
        <w:trPr>
          <w:trHeight w:val="940" w:hRule="atLeast"/>
        </w:trPr>
        <w:tc>
          <w:tcPr>
            <w:tcW w:w="5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3.1.6. Отчет сдан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15.10.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Квартальный мониторинг по количеству отремонтированных жилых помещений детей-сирот, которым исполнилось 18 лет</w:t>
            </w:r>
          </w:p>
        </w:tc>
      </w:tr>
      <w:tr>
        <w:trPr>
          <w:trHeight w:val="940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Мероприятие (результат) 3.2 «Разделение лицевых счетов в жилых помещениях, где часть жилого помещения принадлежит детям-сиротам  и детям, оставшимся без попечения родителей»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Х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>
          <w:trHeight w:val="940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3.2.1. Проведена плановая проверка сохранности жилых помещений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25.12.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Акт проверки сохранности</w:t>
            </w:r>
          </w:p>
        </w:tc>
      </w:tr>
      <w:tr>
        <w:trPr>
          <w:trHeight w:val="940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3.2.2. Отчет сдан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15.01.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Ежеквартальный отчет о принятых мерах по сохранности жилых помещений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3.2.3. Отчет сдан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15.03.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Ежеквартальный отчет о принятых мерах по сохранности жилых помещений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3.2.4. Отчет сдан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15.07.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Ежеквартальный отчет о принятых мерах по сохранности жилых помещений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3.2.5. Отчет сдан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15.10.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Ежеквартальный отчет о принятых мерах по сохранности жилых помещений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Мероприятие (результат) 3.3 «Осуществление заключения договоров найма на жилые помещения, принадлежащие детям-сиротам и детям, оставшимся без попечения родителей»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Х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3.3.1. Проведена плановая проверка сохранности жилых помещений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25.12.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Акт проверки</w:t>
            </w:r>
          </w:p>
        </w:tc>
      </w:tr>
      <w:tr>
        <w:trPr>
          <w:trHeight w:val="883" w:hRule="atLeast"/>
        </w:trPr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3.3.2. Отчет сдан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15.01.</w:t>
            </w:r>
          </w:p>
        </w:tc>
        <w:tc>
          <w:tcPr>
            <w:tcW w:w="29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Ежеквартальный отчет о количестве выявленных жилых помещениях</w:t>
            </w:r>
          </w:p>
        </w:tc>
      </w:tr>
      <w:tr>
        <w:trPr>
          <w:trHeight w:val="883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3.3.3. Отчет сдан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15.04.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Ежеквартальный отчет о количестве выявленных жилых помещениях</w:t>
            </w:r>
          </w:p>
        </w:tc>
      </w:tr>
      <w:tr>
        <w:trPr>
          <w:trHeight w:val="883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3.3.4. Отчет сдан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15.07.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Ежеквартальный отчет о количестве выявленных жилых помещениях</w:t>
            </w:r>
          </w:p>
        </w:tc>
      </w:tr>
      <w:tr>
        <w:trPr>
          <w:trHeight w:val="883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3.3.5. Отчет сдан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15.10.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Ежеквартальный отчет о количестве выявленных жилых помещениях</w:t>
            </w:r>
          </w:p>
        </w:tc>
      </w:tr>
      <w:tr>
        <w:trPr>
          <w:trHeight w:val="468" w:hRule="atLeast"/>
        </w:trPr>
        <w:tc>
          <w:tcPr>
            <w:tcW w:w="14624" w:type="dxa"/>
            <w:gridSpan w:val="4"/>
            <w:tcBorders>
              <w:top w:val="nil"/>
            </w:tcBorders>
          </w:tcPr>
          <w:p>
            <w:pPr>
              <w:pStyle w:val="ConsPlusNormal1"/>
              <w:suppressAutoHyphens w:val="true"/>
              <w:spacing w:before="120" w:after="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Задача 4 «Организация работы по устройству недееспособных граждан в семьи родственников»</w:t>
            </w:r>
          </w:p>
        </w:tc>
      </w:tr>
      <w:tr>
        <w:trPr>
          <w:trHeight w:val="883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Мероприятие (результат) 4.1 «Осуществление работы по устройству недееспособных граждан в семьи родственников»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Х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>
          <w:trHeight w:val="883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4.1.1. Проведены плановые/внеплановые проверки условий жизни недееспособных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15.06.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Акт проверки условий жизни недееспособных граждан</w:t>
            </w:r>
          </w:p>
        </w:tc>
      </w:tr>
      <w:tr>
        <w:trPr>
          <w:trHeight w:val="883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4.1.2. Проведены плановые/внеплановые проверки условий жизни недееспособных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15.12.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Акт проверки условий жизни недееспособных граждан</w:t>
            </w:r>
          </w:p>
        </w:tc>
      </w:tr>
      <w:tr>
        <w:trPr>
          <w:trHeight w:val="883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 xml:space="preserve">Контрольная точка 4.1.3. Принят отчет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shd w:fill="FFFFFF" w:val="clear"/>
                <w:lang w:val="ru-RU" w:bidi="ar-SA"/>
              </w:rPr>
              <w:t>о хранении, об использовании имущества подопечного и об управлении имуществом подопечного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01.02.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Отчет опекуна о хранении,  об использовании имущества совершеннолетнего недееспособного и управлении этим имуществом</w:t>
            </w:r>
          </w:p>
        </w:tc>
      </w:tr>
      <w:tr>
        <w:trPr>
          <w:trHeight w:val="883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4.1.4. Годовой отчет сдан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15.01.</w:t>
            </w:r>
          </w:p>
        </w:tc>
        <w:tc>
          <w:tcPr>
            <w:tcW w:w="29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Отчет в Министерство труда и социальной защиты Кузбасса</w:t>
            </w:r>
          </w:p>
        </w:tc>
      </w:tr>
    </w:tbl>
    <w:p>
      <w:pPr>
        <w:pStyle w:val="Normal"/>
        <w:numPr>
          <w:ilvl w:val="0"/>
          <w:numId w:val="0"/>
        </w:numPr>
        <w:ind w:hanging="0"/>
        <w:jc w:val="right"/>
        <w:outlineLvl w:val="0"/>
        <w:rPr>
          <w:rFonts w:ascii="Times New Roman" w:hAnsi="Times New Roman"/>
          <w:color w:val="000000"/>
        </w:rPr>
      </w:pPr>
      <w:r>
        <w:br w:type="page"/>
      </w:r>
      <w:r>
        <w:rPr>
          <w:rFonts w:ascii="Times New Roman" w:hAnsi="Times New Roman"/>
          <w:color w:val="000000"/>
          <w:sz w:val="28"/>
          <w:szCs w:val="28"/>
        </w:rPr>
        <w:t>Приложение №2</w:t>
        <w:br/>
        <w:t xml:space="preserve">к муниципальной программе </w:t>
      </w:r>
      <w:r>
        <w:rPr>
          <w:rFonts w:eastAsia="Calibri" w:ascii="Times New Roman" w:hAnsi="Times New Roman"/>
          <w:color w:val="000000"/>
          <w:sz w:val="28"/>
          <w:szCs w:val="28"/>
        </w:rPr>
        <w:t>Новокузнецкого</w:t>
        <w:br/>
        <w:t>городского округа «Защита прав граждан в сфере</w:t>
        <w:br/>
        <w:t>опеки и попечительства на территории</w:t>
        <w:br/>
        <w:t>Новокузнецкого городского округа»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ПАСПОРТ</w:t>
        <w:br/>
        <w:t>комплекса процессных мероприятий «Организация и осуществление деятельности по опеке и попечительству»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Раздел 1. Общие положения комплекса процессных мероприятий</w:t>
      </w:r>
    </w:p>
    <w:tbl>
      <w:tblPr>
        <w:tblStyle w:val="affa"/>
        <w:tblW w:w="14992" w:type="dxa"/>
        <w:jc w:val="left"/>
        <w:tblInd w:w="33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7392"/>
        <w:gridCol w:w="7599"/>
      </w:tblGrid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bidi="ar-SA"/>
              </w:rPr>
              <w:t>Исполнитель (исполнители) комплекса процессных мероприятий</w:t>
            </w:r>
          </w:p>
        </w:tc>
        <w:tc>
          <w:tcPr>
            <w:tcW w:w="75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bidi="ar-SA"/>
              </w:rPr>
              <w:t>Управление опеки и попечительства администрации города Новокузнецка</w:t>
            </w:r>
          </w:p>
        </w:tc>
      </w:tr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bidi="ar-SA"/>
              </w:rPr>
              <w:t>Связь с программой</w:t>
            </w:r>
          </w:p>
        </w:tc>
        <w:tc>
          <w:tcPr>
            <w:tcW w:w="75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bidi="ar-SA"/>
              </w:rPr>
              <w:t>Муниципальная программа Новокузнецкого городского округа «Защита прав граждан в сфере опеки и попечительства на территории Новокузнецкого городского округа» (далее – муниципальная программа)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</w:r>
      <w:r>
        <w:br w:type="page"/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 Показатели комплекса процессных мероприятий</w:t>
      </w:r>
    </w:p>
    <w:tbl>
      <w:tblPr>
        <w:tblW w:w="15023" w:type="dxa"/>
        <w:jc w:val="left"/>
        <w:tblInd w:w="2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485"/>
        <w:gridCol w:w="1723"/>
        <w:gridCol w:w="1032"/>
        <w:gridCol w:w="993"/>
        <w:gridCol w:w="1074"/>
        <w:gridCol w:w="879"/>
        <w:gridCol w:w="882"/>
        <w:gridCol w:w="1304"/>
        <w:gridCol w:w="1304"/>
        <w:gridCol w:w="1304"/>
        <w:gridCol w:w="1304"/>
        <w:gridCol w:w="1304"/>
        <w:gridCol w:w="1434"/>
      </w:tblGrid>
      <w:tr>
        <w:trPr>
          <w:trHeight w:val="998" w:hRule="atLeast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№ </w:t>
            </w:r>
            <w:r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задачи/показателя комплекса процессных мероприятий</w:t>
            </w:r>
          </w:p>
        </w:tc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Признак возрастания/убывания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Уровень показателя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Условное обозначение единицы измерения (по ОКЕИ)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Базовое значение</w:t>
            </w:r>
          </w:p>
        </w:tc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Значение показателя по годам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Исполнитель, ответственный за достижение показателя</w:t>
            </w:r>
          </w:p>
        </w:tc>
      </w:tr>
      <w:tr>
        <w:trPr/>
        <w:tc>
          <w:tcPr>
            <w:tcW w:w="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7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значение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2030</w:t>
            </w:r>
          </w:p>
        </w:tc>
        <w:tc>
          <w:tcPr>
            <w:tcW w:w="1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45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1 «Обеспечение  деятельности органов опеки и попечительства»</w:t>
            </w:r>
          </w:p>
        </w:tc>
      </w:tr>
      <w:tr>
        <w:trPr>
          <w:trHeight w:val="595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самоуправления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Calibri" w:ascii="Times New Roman" w:hAnsi="Times New Roman" w:eastAsiaTheme="minorHAnsi"/>
                <w:szCs w:val="24"/>
              </w:rPr>
              <w:t>Муниципальная программа (далее – МП)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Управление опеки и попечительства администрации города Новокузнецка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 Помесячный план достижения показателей комплекса процессных мероприятий в текущем 2026 году</w:t>
      </w:r>
    </w:p>
    <w:tbl>
      <w:tblPr>
        <w:tblW w:w="15515" w:type="dxa"/>
        <w:jc w:val="left"/>
        <w:tblInd w:w="-163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544"/>
        <w:gridCol w:w="2149"/>
        <w:gridCol w:w="1134"/>
        <w:gridCol w:w="1277"/>
        <w:gridCol w:w="940"/>
        <w:gridCol w:w="1051"/>
        <w:gridCol w:w="614"/>
        <w:gridCol w:w="914"/>
        <w:gridCol w:w="572"/>
        <w:gridCol w:w="734"/>
        <w:gridCol w:w="703"/>
        <w:gridCol w:w="993"/>
        <w:gridCol w:w="993"/>
        <w:gridCol w:w="991"/>
        <w:gridCol w:w="993"/>
        <w:gridCol w:w="909"/>
      </w:tblGrid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комплекса процессных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Условное обозначение единицы измерения</w:t>
            </w:r>
          </w:p>
          <w:p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(по </w:t>
            </w:r>
            <w:hyperlink r:id="rId12">
              <w:r>
                <w:rPr>
                  <w:rStyle w:val="Style4"/>
                  <w:rFonts w:cs="Times New Roman" w:ascii="Times New Roman" w:hAnsi="Times New Roman"/>
                  <w:sz w:val="24"/>
                  <w:szCs w:val="24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31.12. 2026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99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>
          <w:trHeight w:val="245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96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1 «Обеспечение  деятельности органов опеки и попечительства»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24,9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33,2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74,7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91,3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 Мероприятия (результаты) комплекса процессных мероприятий</w:t>
      </w:r>
    </w:p>
    <w:tbl>
      <w:tblPr>
        <w:tblStyle w:val="affa"/>
        <w:tblW w:w="15023" w:type="dxa"/>
        <w:jc w:val="left"/>
        <w:tblInd w:w="16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710"/>
        <w:gridCol w:w="2766"/>
        <w:gridCol w:w="1304"/>
        <w:gridCol w:w="969"/>
        <w:gridCol w:w="895"/>
        <w:gridCol w:w="894"/>
        <w:gridCol w:w="897"/>
        <w:gridCol w:w="894"/>
        <w:gridCol w:w="897"/>
        <w:gridCol w:w="894"/>
        <w:gridCol w:w="895"/>
        <w:gridCol w:w="3007"/>
      </w:tblGrid>
      <w:tr>
        <w:trPr/>
        <w:tc>
          <w:tcPr>
            <w:tcW w:w="7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п/п</w:t>
            </w:r>
          </w:p>
        </w:tc>
        <w:tc>
          <w:tcPr>
            <w:tcW w:w="276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30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Тип мероприятия (результата)</w:t>
            </w:r>
          </w:p>
        </w:tc>
        <w:tc>
          <w:tcPr>
            <w:tcW w:w="96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Условное обозначение единицы измерения (по ОКЕИ)</w:t>
            </w:r>
          </w:p>
        </w:tc>
        <w:tc>
          <w:tcPr>
            <w:tcW w:w="178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Базовое значение</w:t>
            </w:r>
          </w:p>
        </w:tc>
        <w:tc>
          <w:tcPr>
            <w:tcW w:w="4477" w:type="dxa"/>
            <w:gridSpan w:val="5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00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Связь с показателями комплекса процессных мероприятий (при наличии)</w:t>
            </w:r>
          </w:p>
        </w:tc>
      </w:tr>
      <w:tr>
        <w:trPr/>
        <w:tc>
          <w:tcPr>
            <w:tcW w:w="7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76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30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6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значение</w:t>
            </w:r>
          </w:p>
        </w:tc>
        <w:tc>
          <w:tcPr>
            <w:tcW w:w="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год</w:t>
            </w:r>
          </w:p>
        </w:tc>
        <w:tc>
          <w:tcPr>
            <w:tcW w:w="8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2026</w:t>
            </w:r>
          </w:p>
        </w:tc>
        <w:tc>
          <w:tcPr>
            <w:tcW w:w="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2027</w:t>
            </w:r>
          </w:p>
        </w:tc>
        <w:tc>
          <w:tcPr>
            <w:tcW w:w="8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2028</w:t>
            </w:r>
          </w:p>
        </w:tc>
        <w:tc>
          <w:tcPr>
            <w:tcW w:w="894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2029</w:t>
            </w: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2030</w:t>
            </w:r>
          </w:p>
        </w:tc>
        <w:tc>
          <w:tcPr>
            <w:tcW w:w="300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</w:tbl>
    <w:p>
      <w:pPr>
        <w:pStyle w:val="Normal"/>
        <w:spacing w:before="0" w:after="0"/>
        <w:ind w:hanging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fa"/>
        <w:tblW w:w="15023" w:type="dxa"/>
        <w:jc w:val="left"/>
        <w:tblInd w:w="16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710"/>
        <w:gridCol w:w="2766"/>
        <w:gridCol w:w="1304"/>
        <w:gridCol w:w="1059"/>
        <w:gridCol w:w="805"/>
        <w:gridCol w:w="894"/>
        <w:gridCol w:w="897"/>
        <w:gridCol w:w="894"/>
        <w:gridCol w:w="897"/>
        <w:gridCol w:w="894"/>
        <w:gridCol w:w="895"/>
        <w:gridCol w:w="3007"/>
      </w:tblGrid>
      <w:tr>
        <w:trPr>
          <w:tblHeader w:val="true"/>
          <w:trHeight w:val="170" w:hRule="atLeast"/>
        </w:trPr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27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10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  <w:tc>
          <w:tcPr>
            <w:tcW w:w="80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</w:t>
            </w:r>
          </w:p>
        </w:tc>
        <w:tc>
          <w:tcPr>
            <w:tcW w:w="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</w:t>
            </w:r>
          </w:p>
        </w:tc>
        <w:tc>
          <w:tcPr>
            <w:tcW w:w="8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</w:t>
            </w:r>
          </w:p>
        </w:tc>
        <w:tc>
          <w:tcPr>
            <w:tcW w:w="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</w:t>
            </w:r>
          </w:p>
        </w:tc>
        <w:tc>
          <w:tcPr>
            <w:tcW w:w="8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9</w:t>
            </w:r>
          </w:p>
        </w:tc>
        <w:tc>
          <w:tcPr>
            <w:tcW w:w="894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10</w:t>
            </w: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</w:t>
            </w:r>
          </w:p>
        </w:tc>
        <w:tc>
          <w:tcPr>
            <w:tcW w:w="300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</w:t>
            </w:r>
          </w:p>
        </w:tc>
      </w:tr>
      <w:tr>
        <w:trPr>
          <w:trHeight w:val="161" w:hRule="atLeast"/>
        </w:trPr>
        <w:tc>
          <w:tcPr>
            <w:tcW w:w="15022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задачи 1 «Обеспечение деятельности органов опеки и попечительства»</w:t>
            </w:r>
          </w:p>
        </w:tc>
      </w:tr>
      <w:tr>
        <w:trPr>
          <w:trHeight w:val="1616" w:hRule="atLeast"/>
        </w:trPr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</w:t>
            </w:r>
          </w:p>
        </w:tc>
        <w:tc>
          <w:tcPr>
            <w:tcW w:w="27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Обеспечение деятельности органов опеки и попечительства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0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0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94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300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самоуправления</w:t>
            </w:r>
          </w:p>
        </w:tc>
      </w:tr>
      <w:tr>
        <w:trPr>
          <w:trHeight w:val="1502" w:hRule="atLeast"/>
        </w:trPr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1.1.</w:t>
            </w:r>
          </w:p>
        </w:tc>
        <w:tc>
          <w:tcPr>
            <w:tcW w:w="27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Выполнены возложенные полномочия и функции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Осуществление текущей деятельности</w:t>
            </w:r>
          </w:p>
        </w:tc>
        <w:tc>
          <w:tcPr>
            <w:tcW w:w="105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человек</w:t>
            </w:r>
          </w:p>
        </w:tc>
        <w:tc>
          <w:tcPr>
            <w:tcW w:w="80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67</w:t>
            </w:r>
          </w:p>
        </w:tc>
        <w:tc>
          <w:tcPr>
            <w:tcW w:w="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8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67</w:t>
            </w:r>
          </w:p>
        </w:tc>
        <w:tc>
          <w:tcPr>
            <w:tcW w:w="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67</w:t>
            </w:r>
          </w:p>
        </w:tc>
        <w:tc>
          <w:tcPr>
            <w:tcW w:w="8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67</w:t>
            </w:r>
          </w:p>
        </w:tc>
        <w:tc>
          <w:tcPr>
            <w:tcW w:w="894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300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5. Финансовое обеспечение реализации комплекса процессных мероприятий</w:t>
      </w:r>
    </w:p>
    <w:p>
      <w:pPr>
        <w:pStyle w:val="Normal"/>
        <w:spacing w:before="0" w:after="0"/>
        <w:ind w:hanging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fa"/>
        <w:tblW w:w="15037" w:type="dxa"/>
        <w:jc w:val="left"/>
        <w:tblInd w:w="33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04"/>
        <w:gridCol w:w="6875"/>
        <w:gridCol w:w="1179"/>
        <w:gridCol w:w="1275"/>
        <w:gridCol w:w="1277"/>
        <w:gridCol w:w="1177"/>
        <w:gridCol w:w="1215"/>
        <w:gridCol w:w="1433"/>
      </w:tblGrid>
      <w:tr>
        <w:trPr>
          <w:trHeight w:val="228" w:hRule="atLeast"/>
        </w:trPr>
        <w:tc>
          <w:tcPr>
            <w:tcW w:w="60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п/п</w:t>
            </w:r>
          </w:p>
        </w:tc>
        <w:tc>
          <w:tcPr>
            <w:tcW w:w="687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 и источники финансового обеспечения, наименование исполнителя</w:t>
            </w:r>
          </w:p>
        </w:tc>
        <w:tc>
          <w:tcPr>
            <w:tcW w:w="7556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228" w:hRule="atLeast"/>
        </w:trPr>
        <w:tc>
          <w:tcPr>
            <w:tcW w:w="60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7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2027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2028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2029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2030</w:t>
            </w:r>
          </w:p>
        </w:tc>
        <w:tc>
          <w:tcPr>
            <w:tcW w:w="14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Всего</w:t>
            </w:r>
          </w:p>
        </w:tc>
      </w:tr>
    </w:tbl>
    <w:p>
      <w:pPr>
        <w:pStyle w:val="Normal"/>
        <w:spacing w:before="0" w:after="0"/>
        <w:ind w:hanging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fa"/>
        <w:tblW w:w="15037" w:type="dxa"/>
        <w:jc w:val="left"/>
        <w:tblInd w:w="33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04"/>
        <w:gridCol w:w="6866"/>
        <w:gridCol w:w="1188"/>
        <w:gridCol w:w="1275"/>
        <w:gridCol w:w="1277"/>
        <w:gridCol w:w="1177"/>
        <w:gridCol w:w="1215"/>
        <w:gridCol w:w="1433"/>
      </w:tblGrid>
      <w:tr>
        <w:trPr>
          <w:tblHeader w:val="true"/>
          <w:trHeight w:val="228" w:hRule="atLeast"/>
        </w:trPr>
        <w:tc>
          <w:tcPr>
            <w:tcW w:w="6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68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</w:t>
            </w:r>
          </w:p>
        </w:tc>
        <w:tc>
          <w:tcPr>
            <w:tcW w:w="14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</w:t>
            </w:r>
          </w:p>
        </w:tc>
      </w:tr>
      <w:tr>
        <w:trPr>
          <w:trHeight w:val="393" w:hRule="atLeast"/>
        </w:trPr>
        <w:tc>
          <w:tcPr>
            <w:tcW w:w="604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68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Комплекс процессных мероприятий «Организация и осуществление деятельности по опеке и попечительству», в т.ч.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56 220,0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49 100,0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154 142,0</w:t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146 466,0</w:t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7 398,0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0,0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278,0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7 676,0</w:t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</w:t>
            </w: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56 220,0</w:t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49 100,0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154 142,0</w:t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68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задачи: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«Обеспечение деятельности органов опеки и попечительства»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4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1.1</w:t>
            </w:r>
          </w:p>
        </w:tc>
        <w:tc>
          <w:tcPr>
            <w:tcW w:w="68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«Обеспечение деятельности органов опеки и попечительства», в т.ч.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56 220,0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49 100,0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154 142,0</w:t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146 466,0</w:t>
            </w:r>
          </w:p>
        </w:tc>
      </w:tr>
      <w:tr>
        <w:trPr/>
        <w:tc>
          <w:tcPr>
            <w:tcW w:w="60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7 398,0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0,0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278,0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7 676,0</w:t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«Управление опеки и попечительства администрации города Новокузнецка», итого:</w:t>
            </w: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56 220,0</w:t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49 100,0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154 142,0</w:t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48 822,0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146 466,0</w:t>
            </w:r>
          </w:p>
        </w:tc>
      </w:tr>
      <w:tr>
        <w:trPr/>
        <w:tc>
          <w:tcPr>
            <w:tcW w:w="60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7 398,0</w:t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0,0</w:t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278,0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7 676,0</w:t>
            </w:r>
          </w:p>
        </w:tc>
      </w:tr>
      <w:tr>
        <w:trPr/>
        <w:tc>
          <w:tcPr>
            <w:tcW w:w="60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86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</w:tbl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6. План реализации комплекса процессных мероприятий</w:t>
      </w:r>
    </w:p>
    <w:tbl>
      <w:tblPr>
        <w:tblStyle w:val="affa"/>
        <w:tblW w:w="14710" w:type="dxa"/>
        <w:jc w:val="left"/>
        <w:tblInd w:w="33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778"/>
        <w:gridCol w:w="3261"/>
        <w:gridCol w:w="2861"/>
        <w:gridCol w:w="2809"/>
      </w:tblGrid>
      <w:tr>
        <w:trPr/>
        <w:tc>
          <w:tcPr>
            <w:tcW w:w="57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Задача, мероприятие (результат) / контрольная точка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Дата наступления контрольной точки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Исполнитель, ответственный за реализацию</w:t>
            </w:r>
          </w:p>
        </w:tc>
        <w:tc>
          <w:tcPr>
            <w:tcW w:w="28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Вид документа, подтверждающего факт достижения контрольной точки</w:t>
            </w:r>
          </w:p>
        </w:tc>
      </w:tr>
      <w:tr>
        <w:trPr/>
        <w:tc>
          <w:tcPr>
            <w:tcW w:w="57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28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</w:tr>
      <w:tr>
        <w:trPr/>
        <w:tc>
          <w:tcPr>
            <w:tcW w:w="1470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Задача 1 «Обеспечение деятельности органов опеки и попечительства»</w:t>
            </w:r>
          </w:p>
        </w:tc>
      </w:tr>
      <w:tr>
        <w:trPr/>
        <w:tc>
          <w:tcPr>
            <w:tcW w:w="57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Мероприятие (результат) 1.1 «Обеспечение деятельности органов опеки и попечительства»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Х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Управление опеки и попечительства администрации города Новокузнецка</w:t>
            </w:r>
          </w:p>
        </w:tc>
        <w:tc>
          <w:tcPr>
            <w:tcW w:w="28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577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Контрольная точка 1.1.1.</w:t>
            </w:r>
          </w:p>
        </w:tc>
        <w:tc>
          <w:tcPr>
            <w:tcW w:w="32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Не предусмотрена</w:t>
            </w:r>
          </w:p>
        </w:tc>
        <w:tc>
          <w:tcPr>
            <w:tcW w:w="28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  <w:t>Управление опеки и попечительства администрации города Новокузнецка</w:t>
            </w:r>
          </w:p>
        </w:tc>
        <w:tc>
          <w:tcPr>
            <w:tcW w:w="28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  <w:lang w:val="ru-RU" w:bidi="ar-SA"/>
              </w:rPr>
            </w:r>
          </w:p>
        </w:tc>
      </w:tr>
    </w:tbl>
    <w:p>
      <w:pPr>
        <w:sectPr>
          <w:headerReference w:type="even" r:id="rId13"/>
          <w:headerReference w:type="default" r:id="rId14"/>
          <w:headerReference w:type="first" r:id="rId15"/>
          <w:footerReference w:type="even" r:id="rId16"/>
          <w:footerReference w:type="default" r:id="rId17"/>
          <w:footerReference w:type="first" r:id="rId18"/>
          <w:type w:val="nextPage"/>
          <w:pgSz w:orient="landscape" w:w="16838" w:h="11906"/>
          <w:pgMar w:left="1134" w:right="1134" w:gutter="0" w:header="709" w:top="1418" w:footer="709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76" w:before="120" w:after="360"/>
        <w:ind w:hanging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</w:rPr>
      </w:r>
      <w:bookmarkStart w:id="2" w:name="OLE_LINK70_Копия_1"/>
      <w:bookmarkStart w:id="3" w:name="OLE_LINK69_Копия_1"/>
      <w:bookmarkStart w:id="4" w:name="OLE_LINK64_Копия_1"/>
      <w:bookmarkStart w:id="5" w:name="OLE_LINK63_Копия_1"/>
      <w:bookmarkStart w:id="6" w:name="OLE_LINK72_Копия_1"/>
      <w:bookmarkStart w:id="7" w:name="OLE_LINK71_Копия_1"/>
      <w:bookmarkStart w:id="8" w:name="OLE_LINK70_Копия_1"/>
      <w:bookmarkStart w:id="9" w:name="OLE_LINK69_Копия_1"/>
      <w:bookmarkStart w:id="10" w:name="OLE_LINK64_Копия_1"/>
      <w:bookmarkStart w:id="11" w:name="OLE_LINK63_Копия_1"/>
      <w:bookmarkStart w:id="12" w:name="OLE_LINK72_Копия_1"/>
      <w:bookmarkStart w:id="13" w:name="OLE_LINK71_Копия_1"/>
      <w:bookmarkEnd w:id="8"/>
      <w:bookmarkEnd w:id="9"/>
      <w:bookmarkEnd w:id="10"/>
      <w:bookmarkEnd w:id="11"/>
      <w:bookmarkEnd w:id="12"/>
      <w:bookmarkEnd w:id="13"/>
    </w:p>
    <w:sectPr>
      <w:headerReference w:type="even" r:id="rId19"/>
      <w:headerReference w:type="default" r:id="rId20"/>
      <w:headerReference w:type="first" r:id="rId21"/>
      <w:footerReference w:type="even" r:id="rId22"/>
      <w:footerReference w:type="default" r:id="rId23"/>
      <w:footerReference w:type="first" r:id="rId24"/>
      <w:type w:val="nextPage"/>
      <w:pgSz w:w="11906" w:h="16838"/>
      <w:pgMar w:left="1418" w:right="851" w:gutter="0" w:header="709" w:top="1134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Journal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Baltica">
    <w:charset w:val="01"/>
    <w:family w:val="roman"/>
    <w:pitch w:val="default"/>
  </w:font>
  <w:font w:name="Verdana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20" w:after="0"/>
      <w:ind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20" w:after="0"/>
      <w:ind w:hanging="0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20" w:after="0"/>
      <w:ind w:hanging="0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20" w:after="0"/>
      <w:ind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78610364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ind w:hanging="0"/>
          <w:jc w:val="center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  <w:fldChar w:fldCharType="begin"/>
        </w:r>
        <w:r>
          <w:rPr>
            <w:sz w:val="20"/>
            <w:rFonts w:ascii="Times New Roman" w:hAnsi="Times New Roman"/>
          </w:rPr>
          <w:instrText xml:space="preserve"> PAGE </w:instrText>
        </w:r>
        <w:r>
          <w:rPr>
            <w:sz w:val="20"/>
            <w:rFonts w:ascii="Times New Roman" w:hAnsi="Times New Roman"/>
          </w:rPr>
          <w:fldChar w:fldCharType="separate"/>
        </w:r>
        <w:r>
          <w:rPr>
            <w:sz w:val="20"/>
            <w:rFonts w:ascii="Times New Roman" w:hAnsi="Times New Roman"/>
          </w:rPr>
          <w:t>7</w:t>
        </w:r>
        <w:r>
          <w:rPr>
            <w:sz w:val="20"/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ind w:hanging="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sz w:val="20"/>
        <w:rFonts w:ascii="Times New Roman" w:hAnsi="Times New Roman"/>
      </w:rPr>
      <w:instrText xml:space="preserve"> PAGE </w:instrText>
    </w:r>
    <w:r>
      <w:rPr>
        <w:sz w:val="20"/>
        <w:rFonts w:ascii="Times New Roman" w:hAnsi="Times New Roman"/>
      </w:rPr>
      <w:fldChar w:fldCharType="separate"/>
    </w:r>
    <w:r>
      <w:rPr>
        <w:sz w:val="20"/>
        <w:rFonts w:ascii="Times New Roman" w:hAnsi="Times New Roman"/>
      </w:rPr>
      <w:t>49</w:t>
    </w:r>
    <w:r>
      <w:rPr>
        <w:sz w:val="20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ind w:hanging="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sz w:val="20"/>
        <w:rFonts w:ascii="Times New Roman" w:hAnsi="Times New Roman"/>
      </w:rPr>
      <w:instrText xml:space="preserve"> PAGE </w:instrText>
    </w:r>
    <w:r>
      <w:rPr>
        <w:sz w:val="20"/>
        <w:rFonts w:ascii="Times New Roman" w:hAnsi="Times New Roman"/>
      </w:rPr>
      <w:fldChar w:fldCharType="separate"/>
    </w:r>
    <w:r>
      <w:rPr>
        <w:sz w:val="20"/>
        <w:rFonts w:ascii="Times New Roman" w:hAnsi="Times New Roman"/>
      </w:rPr>
      <w:t>49</w:t>
    </w:r>
    <w:r>
      <w:rPr>
        <w:sz w:val="20"/>
        <w:rFonts w:ascii="Times New Roman" w:hAnsi="Times New Roman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sz w:val="20"/>
        <w:rFonts w:ascii="Times New Roman" w:hAnsi="Times New Roman"/>
      </w:rPr>
      <w:instrText xml:space="preserve"> PAGE </w:instrText>
    </w:r>
    <w:r>
      <w:rPr>
        <w:sz w:val="20"/>
        <w:rFonts w:ascii="Times New Roman" w:hAnsi="Times New Roman"/>
      </w:rPr>
      <w:fldChar w:fldCharType="separate"/>
    </w:r>
    <w:r>
      <w:rPr>
        <w:sz w:val="20"/>
        <w:rFonts w:ascii="Times New Roman" w:hAnsi="Times New Roman"/>
      </w:rPr>
      <w:t>0</w:t>
    </w:r>
    <w:r>
      <w:rPr>
        <w:sz w:val="20"/>
        <w:rFonts w:ascii="Times New Roman" w:hAnsi="Times New Roman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Indent 2" w:uiPriority="0"/>
    <w:lsdException w:name="Body Text Inden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a133e"/>
    <w:pPr>
      <w:widowControl/>
      <w:suppressAutoHyphens w:val="true"/>
      <w:bidi w:val="0"/>
      <w:spacing w:before="12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ec3852"/>
    <w:pPr>
      <w:keepNext w:val="true"/>
      <w:spacing w:before="240" w:after="360"/>
      <w:ind w:hanging="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rsid w:val="00ed1b5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7c2ba9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7c2ba9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306b8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c3852"/>
    <w:rPr>
      <w:rFonts w:ascii="Times New Roman" w:hAnsi="Times New Roman" w:eastAsia="Times New Roman" w:cs="Times New Roman"/>
      <w:spacing w:val="104"/>
      <w:sz w:val="32"/>
      <w:szCs w:val="20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qFormat/>
    <w:rsid w:val="00ec385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4f470b"/>
    <w:rPr>
      <w:color w:themeColor="hyperlink" w:val="0000FF"/>
      <w:u w:val="single"/>
    </w:rPr>
  </w:style>
  <w:style w:type="character" w:styleId="3" w:customStyle="1">
    <w:name w:val="Заголовок 3 Знак"/>
    <w:basedOn w:val="DefaultParagraphFont"/>
    <w:semiHidden/>
    <w:qFormat/>
    <w:rsid w:val="007c2ba9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4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7c2ba9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0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7c2ba9"/>
    <w:rPr>
      <w:rFonts w:ascii="Journal" w:hAnsi="Journal" w:eastAsia="Times New Roman" w:cs="Times New Roman"/>
      <w:sz w:val="24"/>
      <w:szCs w:val="20"/>
      <w:lang w:eastAsia="ru-RU"/>
    </w:rPr>
  </w:style>
  <w:style w:type="character" w:styleId="PageNumber">
    <w:name w:val="page number"/>
    <w:basedOn w:val="DefaultParagraphFont"/>
    <w:rsid w:val="007c2ba9"/>
    <w:rPr/>
  </w:style>
  <w:style w:type="character" w:styleId="Style11" w:customStyle="1">
    <w:name w:val="Нижний колонтитул Знак"/>
    <w:basedOn w:val="DefaultParagraphFont"/>
    <w:uiPriority w:val="99"/>
    <w:qFormat/>
    <w:rsid w:val="007c2ba9"/>
    <w:rPr>
      <w:rFonts w:ascii="Journal" w:hAnsi="Journal" w:eastAsia="Times New Roman" w:cs="Times New Roman"/>
      <w:sz w:val="24"/>
      <w:szCs w:val="20"/>
      <w:lang w:eastAsia="ru-RU"/>
    </w:rPr>
  </w:style>
  <w:style w:type="character" w:styleId="Style12" w:customStyle="1">
    <w:name w:val="Основной текст Знак"/>
    <w:basedOn w:val="DefaultParagraphFont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7c2ba9"/>
    <w:rPr>
      <w:rFonts w:ascii="Times New Roman" w:hAnsi="Times New Roman" w:eastAsia="Times New Roman" w:cs="Times New Roman"/>
      <w:spacing w:val="-2"/>
      <w:sz w:val="24"/>
      <w:szCs w:val="20"/>
      <w:lang w:eastAsia="ru-RU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FontStyle12" w:customStyle="1">
    <w:name w:val="Font Style12"/>
    <w:basedOn w:val="DefaultParagraphFont"/>
    <w:qFormat/>
    <w:rsid w:val="007c2ba9"/>
    <w:rPr>
      <w:rFonts w:ascii="Times New Roman" w:hAnsi="Times New Roman" w:cs="Times New Roman"/>
      <w:sz w:val="18"/>
      <w:szCs w:val="18"/>
    </w:rPr>
  </w:style>
  <w:style w:type="character" w:styleId="FontStyle13" w:customStyle="1">
    <w:name w:val="Font Style13"/>
    <w:basedOn w:val="DefaultParagraphFont"/>
    <w:qFormat/>
    <w:rsid w:val="007c2ba9"/>
    <w:rPr>
      <w:rFonts w:ascii="Times New Roman" w:hAnsi="Times New Roman" w:cs="Times New Roman"/>
      <w:b/>
      <w:b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b5684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5b5684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5b5684"/>
    <w:rPr>
      <w:rFonts w:ascii="Journal" w:hAnsi="Journal" w:eastAsia="Times New Roman" w:cs="Times New Roman"/>
      <w:b/>
      <w:bCs/>
      <w:sz w:val="20"/>
      <w:szCs w:val="20"/>
      <w:lang w:eastAsia="ru-RU"/>
    </w:rPr>
  </w:style>
  <w:style w:type="character" w:styleId="Style16" w:customStyle="1">
    <w:name w:val="Текст концевой сноски Знак"/>
    <w:basedOn w:val="DefaultParagraphFont"/>
    <w:uiPriority w:val="99"/>
    <w:semiHidden/>
    <w:qFormat/>
    <w:rsid w:val="00093d44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7">
    <w:name w:val="Символ концевой сноски"/>
    <w:qFormat/>
    <w:rsid w:val="005d145d"/>
    <w:rPr>
      <w:vertAlign w:val="superscript"/>
    </w:rPr>
  </w:style>
  <w:style w:type="character" w:styleId="user" w:customStyle="1">
    <w:name w:val="Символ концевой сноски (user)"/>
    <w:qFormat/>
    <w:rsid w:val="00772905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9" w:customStyle="1">
    <w:name w:val="Основной текст + 9"/>
    <w:basedOn w:val="Style12"/>
    <w:qFormat/>
    <w:rsid w:val="002d23f1"/>
    <w:rPr>
      <w:rFonts w:ascii="Arial" w:hAnsi="Arial" w:eastAsia="Times New Roman" w:cs="Times New Roman"/>
      <w:b/>
      <w:bCs/>
      <w:smallCaps/>
      <w:spacing w:val="-5"/>
      <w:sz w:val="19"/>
      <w:szCs w:val="19"/>
      <w:u w:val="single"/>
      <w:lang w:eastAsia="ru-RU" w:bidi="ar-SA"/>
    </w:rPr>
  </w:style>
  <w:style w:type="character" w:styleId="21" w:customStyle="1">
    <w:name w:val="Заголовок 2 Знак"/>
    <w:basedOn w:val="DefaultParagraphFont"/>
    <w:uiPriority w:val="9"/>
    <w:qFormat/>
    <w:rsid w:val="00ed1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e306b8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4"/>
      <w:szCs w:val="20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6f107b"/>
    <w:rPr>
      <w:color w:val="800080"/>
      <w:u w:val="single"/>
    </w:rPr>
  </w:style>
  <w:style w:type="character" w:styleId="Style18" w:customStyle="1">
    <w:name w:val="Текст сноски Знак"/>
    <w:basedOn w:val="DefaultParagraphFont"/>
    <w:uiPriority w:val="99"/>
    <w:qFormat/>
    <w:rsid w:val="00855a6c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9">
    <w:name w:val="Символ сноски"/>
    <w:qFormat/>
    <w:rsid w:val="005d145d"/>
    <w:rPr>
      <w:vertAlign w:val="superscript"/>
    </w:rPr>
  </w:style>
  <w:style w:type="character" w:styleId="user1" w:customStyle="1">
    <w:name w:val="Символ сноски (user)"/>
    <w:qFormat/>
    <w:rsid w:val="0077290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0" w:customStyle="1">
    <w:name w:val="Абзац списка Знак"/>
    <w:link w:val="ListParagraph"/>
    <w:uiPriority w:val="34"/>
    <w:qFormat/>
    <w:locked/>
    <w:rsid w:val="006c7b61"/>
    <w:rPr>
      <w:rFonts w:ascii="Calibri" w:hAnsi="Calibri" w:eastAsia="Calibri" w:cs="Times New Roman"/>
    </w:rPr>
  </w:style>
  <w:style w:type="character" w:styleId="ConsPlusNormal" w:customStyle="1">
    <w:name w:val="ConsPlusNormal Знак"/>
    <w:link w:val="ConsPlusNormal1"/>
    <w:qFormat/>
    <w:locked/>
    <w:rsid w:val="00b42ec5"/>
    <w:rPr>
      <w:rFonts w:ascii="Calibri" w:hAnsi="Calibri" w:eastAsia="Times New Roman" w:cs="Calibri"/>
      <w:szCs w:val="20"/>
      <w:lang w:eastAsia="ru-RU"/>
    </w:rPr>
  </w:style>
  <w:style w:type="character" w:styleId="32" w:customStyle="1">
    <w:name w:val="Абзац списка Знак;Введение Знак;3_Абзац списка Знак;СПИСКИ Знак"/>
    <w:qFormat/>
    <w:rsid w:val="00f35a85"/>
    <w:rPr>
      <w:rFonts w:ascii="Times New Roman" w:hAnsi="Times New Roman"/>
      <w:sz w:val="24"/>
      <w:lang w:val="ru-RU" w:eastAsia="ru-RU"/>
    </w:rPr>
  </w:style>
  <w:style w:type="paragraph" w:styleId="Style21" w:customStyle="1">
    <w:name w:val="Заголовок"/>
    <w:basedOn w:val="Normal"/>
    <w:next w:val="BodyText"/>
    <w:qFormat/>
    <w:rsid w:val="00817aa4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2"/>
    <w:rsid w:val="007c2ba9"/>
    <w:pPr>
      <w:ind w:hanging="0"/>
    </w:pPr>
    <w:rPr>
      <w:rFonts w:ascii="Times New Roman" w:hAnsi="Times New Roman"/>
    </w:rPr>
  </w:style>
  <w:style w:type="paragraph" w:styleId="List">
    <w:name w:val="List"/>
    <w:basedOn w:val="BodyText"/>
    <w:rsid w:val="00817aa4"/>
    <w:pPr/>
    <w:rPr>
      <w:rFonts w:cs="Lucida Sans"/>
    </w:rPr>
  </w:style>
  <w:style w:type="paragraph" w:styleId="Caption">
    <w:name w:val="caption"/>
    <w:basedOn w:val="Normal"/>
    <w:qFormat/>
    <w:rsid w:val="00817aa4"/>
    <w:pPr>
      <w:suppressLineNumbers/>
      <w:spacing w:before="120" w:after="120"/>
    </w:pPr>
    <w:rPr>
      <w:rFonts w:cs="Lucida Sans"/>
      <w:i/>
      <w:iCs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 w:customStyle="1">
    <w:name w:val="Заголовок (user)"/>
    <w:basedOn w:val="Normal"/>
    <w:next w:val="BodyText"/>
    <w:qFormat/>
    <w:rsid w:val="00817aa4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1" w:customStyle="1">
    <w:name w:val="Указатель1"/>
    <w:basedOn w:val="Normal"/>
    <w:qFormat/>
    <w:rsid w:val="00817aa4"/>
    <w:pPr>
      <w:suppressLineNumbers/>
    </w:pPr>
    <w:rPr>
      <w:rFonts w:cs="Lucida Sans"/>
    </w:rPr>
  </w:style>
  <w:style w:type="paragraph" w:styleId="IndexHeading">
    <w:name w:val="index heading"/>
    <w:basedOn w:val="Normal"/>
    <w:qFormat/>
    <w:rsid w:val="00817aa4"/>
    <w:pPr>
      <w:suppressLineNumbers/>
    </w:pPr>
    <w:rPr>
      <w:rFonts w:cs="Lucida Sans"/>
    </w:rPr>
  </w:style>
  <w:style w:type="paragraph" w:styleId="ConsPlusTitle" w:customStyle="1">
    <w:name w:val="ConsPlusTitle"/>
    <w:qFormat/>
    <w:rsid w:val="000f4c0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Normal1" w:customStyle="1">
    <w:name w:val="ConsPlusNormal"/>
    <w:link w:val="ConsPlusNormal"/>
    <w:qFormat/>
    <w:rsid w:val="000f4c0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0f4c0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link w:val="Style20"/>
    <w:uiPriority w:val="34"/>
    <w:qFormat/>
    <w:rsid w:val="00ec3852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Style9"/>
    <w:uiPriority w:val="99"/>
    <w:unhideWhenUsed/>
    <w:qFormat/>
    <w:rsid w:val="00ec3852"/>
    <w:pPr>
      <w:spacing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Колонтитулы"/>
    <w:basedOn w:val="Normal"/>
    <w:qFormat/>
    <w:rsid w:val="00817aa4"/>
    <w:pPr/>
    <w:rPr/>
  </w:style>
  <w:style w:type="paragraph" w:styleId="user3" w:customStyle="1">
    <w:name w:val="Колонтитулы (user)"/>
    <w:basedOn w:val="Normal"/>
    <w:qFormat/>
    <w:rsid w:val="00817aa4"/>
    <w:pPr/>
    <w:rPr/>
  </w:style>
  <w:style w:type="paragraph" w:styleId="Header">
    <w:name w:val="header"/>
    <w:basedOn w:val="Normal"/>
    <w:link w:val="Style10"/>
    <w:uiPriority w:val="99"/>
    <w:rsid w:val="007c2ba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Стиль1"/>
    <w:basedOn w:val="Normal"/>
    <w:qFormat/>
    <w:rsid w:val="007c2ba9"/>
    <w:pPr>
      <w:spacing w:before="240" w:after="0"/>
      <w:ind w:hanging="0"/>
      <w:jc w:val="center"/>
    </w:pPr>
    <w:rPr>
      <w:rFonts w:ascii="Baltica" w:hAnsi="Baltica"/>
      <w:caps/>
    </w:rPr>
  </w:style>
  <w:style w:type="paragraph" w:styleId="13" w:customStyle="1">
    <w:name w:val="Знак Знак1 Знак Знак Знак Знак Знак Знак Знак"/>
    <w:basedOn w:val="Normal"/>
    <w:qFormat/>
    <w:rsid w:val="007c2ba9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Footer">
    <w:name w:val="footer"/>
    <w:basedOn w:val="Normal"/>
    <w:link w:val="Style11"/>
    <w:uiPriority w:val="99"/>
    <w:rsid w:val="007c2ba9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link w:val="Style13"/>
    <w:rsid w:val="007c2ba9"/>
    <w:pPr/>
    <w:rPr>
      <w:rFonts w:ascii="Times New Roman" w:hAnsi="Times New Roman"/>
    </w:rPr>
  </w:style>
  <w:style w:type="paragraph" w:styleId="BodyTextIndent2">
    <w:name w:val="Body Text Indent 2"/>
    <w:basedOn w:val="Normal"/>
    <w:link w:val="2"/>
    <w:qFormat/>
    <w:rsid w:val="007c2ba9"/>
    <w:pPr>
      <w:ind w:left="-57"/>
    </w:pPr>
    <w:rPr>
      <w:rFonts w:ascii="Times New Roman" w:hAnsi="Times New Roman"/>
      <w:spacing w:val="-2"/>
    </w:rPr>
  </w:style>
  <w:style w:type="paragraph" w:styleId="BodyTextIndent3">
    <w:name w:val="Body Text Indent 3"/>
    <w:basedOn w:val="Normal"/>
    <w:link w:val="31"/>
    <w:qFormat/>
    <w:rsid w:val="007c2ba9"/>
    <w:pPr>
      <w:spacing w:before="80" w:after="0"/>
      <w:ind w:firstLine="437" w:left="283"/>
    </w:pPr>
    <w:rPr>
      <w:rFonts w:ascii="Times New Roman" w:hAnsi="Times New Roman"/>
    </w:rPr>
  </w:style>
  <w:style w:type="paragraph" w:styleId="211" w:customStyle="1">
    <w:name w:val="Основной текст 21"/>
    <w:basedOn w:val="Normal"/>
    <w:qFormat/>
    <w:rsid w:val="007c2ba9"/>
    <w:pPr>
      <w:widowControl w:val="false"/>
      <w:spacing w:before="0" w:after="0"/>
      <w:ind w:firstLine="900"/>
      <w:jc w:val="left"/>
    </w:pPr>
    <w:rPr>
      <w:rFonts w:ascii="Times New Roman" w:hAnsi="Times New Roman"/>
    </w:rPr>
  </w:style>
  <w:style w:type="paragraph" w:styleId="ConsNormal" w:customStyle="1">
    <w:name w:val="ConsNormal"/>
    <w:uiPriority w:val="99"/>
    <w:qFormat/>
    <w:rsid w:val="007c2ba9"/>
    <w:pPr>
      <w:widowControl/>
      <w:suppressAutoHyphens w:val="true"/>
      <w:bidi w:val="0"/>
      <w:snapToGrid w:val="false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Style110" w:customStyle="1">
    <w:name w:val="Style1"/>
    <w:basedOn w:val="Normal"/>
    <w:qFormat/>
    <w:rsid w:val="007c2ba9"/>
    <w:pPr>
      <w:widowControl w:val="false"/>
      <w:spacing w:before="0" w:after="0"/>
      <w:ind w:hanging="0"/>
      <w:jc w:val="center"/>
    </w:pPr>
    <w:rPr>
      <w:rFonts w:ascii="Times New Roman" w:hAnsi="Times New Roman"/>
      <w:szCs w:val="24"/>
    </w:rPr>
  </w:style>
  <w:style w:type="paragraph" w:styleId="Style24" w:customStyle="1">
    <w:name w:val="Style2"/>
    <w:basedOn w:val="Normal"/>
    <w:qFormat/>
    <w:rsid w:val="007c2ba9"/>
    <w:pPr>
      <w:widowControl w:val="false"/>
      <w:spacing w:lineRule="exact" w:line="230" w:before="0" w:after="0"/>
      <w:ind w:hanging="0"/>
    </w:pPr>
    <w:rPr>
      <w:rFonts w:ascii="Times New Roman" w:hAnsi="Times New Roman"/>
      <w:szCs w:val="24"/>
    </w:rPr>
  </w:style>
  <w:style w:type="paragraph" w:styleId="Style31" w:customStyle="1">
    <w:name w:val="Style3"/>
    <w:basedOn w:val="Normal"/>
    <w:qFormat/>
    <w:rsid w:val="007c2ba9"/>
    <w:pPr>
      <w:widowControl w:val="false"/>
      <w:spacing w:lineRule="exact" w:line="230" w:before="0" w:after="0"/>
      <w:ind w:firstLine="518"/>
    </w:pPr>
    <w:rPr>
      <w:rFonts w:ascii="Times New Roman" w:hAnsi="Times New Roman"/>
      <w:szCs w:val="24"/>
    </w:rPr>
  </w:style>
  <w:style w:type="paragraph" w:styleId="Style41" w:customStyle="1">
    <w:name w:val="Style4"/>
    <w:basedOn w:val="Normal"/>
    <w:qFormat/>
    <w:rsid w:val="007c2ba9"/>
    <w:pPr>
      <w:widowControl w:val="false"/>
      <w:spacing w:lineRule="exact" w:line="231" w:before="0" w:after="0"/>
      <w:ind w:firstLine="461"/>
    </w:pPr>
    <w:rPr>
      <w:rFonts w:ascii="Times New Roman" w:hAnsi="Times New Roman"/>
      <w:szCs w:val="24"/>
    </w:rPr>
  </w:style>
  <w:style w:type="paragraph" w:styleId="Style51" w:customStyle="1">
    <w:name w:val="Style5"/>
    <w:basedOn w:val="Normal"/>
    <w:qFormat/>
    <w:rsid w:val="007c2ba9"/>
    <w:pPr>
      <w:widowControl w:val="false"/>
      <w:spacing w:lineRule="exact" w:line="233" w:before="0" w:after="0"/>
      <w:ind w:firstLine="389"/>
    </w:pPr>
    <w:rPr>
      <w:rFonts w:ascii="Times New Roman" w:hAnsi="Times New Roman"/>
      <w:szCs w:val="24"/>
    </w:rPr>
  </w:style>
  <w:style w:type="paragraph" w:styleId="Style61" w:customStyle="1">
    <w:name w:val="Style6"/>
    <w:basedOn w:val="Normal"/>
    <w:qFormat/>
    <w:rsid w:val="007c2ba9"/>
    <w:pPr>
      <w:widowControl w:val="false"/>
      <w:spacing w:lineRule="exact" w:line="230" w:before="0" w:after="0"/>
      <w:ind w:firstLine="437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qFormat/>
    <w:rsid w:val="007c2ba9"/>
    <w:pPr>
      <w:spacing w:before="120" w:after="216"/>
      <w:ind w:hanging="0"/>
      <w:jc w:val="left"/>
    </w:pPr>
    <w:rPr>
      <w:rFonts w:ascii="Times New Roman" w:hAnsi="Times New Roman"/>
      <w:szCs w:val="24"/>
    </w:rPr>
  </w:style>
  <w:style w:type="paragraph" w:styleId="rteindent1" w:customStyle="1">
    <w:name w:val="rteindent1"/>
    <w:basedOn w:val="Normal"/>
    <w:qFormat/>
    <w:rsid w:val="007c2ba9"/>
    <w:pPr>
      <w:spacing w:before="120" w:after="216"/>
      <w:ind w:hanging="0" w:left="600"/>
      <w:jc w:val="left"/>
    </w:pPr>
    <w:rPr>
      <w:rFonts w:ascii="Times New Roman" w:hAnsi="Times New Roman"/>
      <w:szCs w:val="24"/>
    </w:rPr>
  </w:style>
  <w:style w:type="paragraph" w:styleId="rtecenter" w:customStyle="1">
    <w:name w:val="rtecenter"/>
    <w:basedOn w:val="Normal"/>
    <w:qFormat/>
    <w:rsid w:val="007c2ba9"/>
    <w:pPr>
      <w:spacing w:before="120" w:after="216"/>
      <w:ind w:hanging="0"/>
      <w:jc w:val="center"/>
    </w:pPr>
    <w:rPr>
      <w:rFonts w:ascii="Times New Roman" w:hAnsi="Times New Roman"/>
      <w:szCs w:val="24"/>
    </w:rPr>
  </w:style>
  <w:style w:type="paragraph" w:styleId="Style25" w:customStyle="1">
    <w:name w:val="Знак"/>
    <w:basedOn w:val="Normal"/>
    <w:qFormat/>
    <w:rsid w:val="007c2ba9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ConsPlusCell" w:customStyle="1">
    <w:name w:val="ConsPlusCell"/>
    <w:uiPriority w:val="99"/>
    <w:qFormat/>
    <w:rsid w:val="007c2ba9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5b5684"/>
    <w:pPr/>
    <w:rPr>
      <w:sz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5b5684"/>
    <w:pPr/>
    <w:rPr>
      <w:b/>
      <w:bCs/>
    </w:rPr>
  </w:style>
  <w:style w:type="paragraph" w:styleId="EndnoteText">
    <w:name w:val="endnote text"/>
    <w:basedOn w:val="Normal"/>
    <w:link w:val="Style16"/>
    <w:uiPriority w:val="99"/>
    <w:semiHidden/>
    <w:unhideWhenUsed/>
    <w:rsid w:val="00093d44"/>
    <w:pPr>
      <w:spacing w:before="0" w:after="0"/>
    </w:pPr>
    <w:rPr>
      <w:sz w:val="20"/>
    </w:rPr>
  </w:style>
  <w:style w:type="paragraph" w:styleId="Default" w:customStyle="1">
    <w:name w:val="Default"/>
    <w:qFormat/>
    <w:rsid w:val="00cd688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14" w:customStyle="1">
    <w:name w:val="Обычный1"/>
    <w:qFormat/>
    <w:rsid w:val="00cd688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ru-RU" w:val="ru-RU" w:bidi="ar-SA"/>
    </w:rPr>
  </w:style>
  <w:style w:type="paragraph" w:styleId="NoSpacing">
    <w:name w:val="No Spacing"/>
    <w:uiPriority w:val="1"/>
    <w:qFormat/>
    <w:rsid w:val="00b84776"/>
    <w:pPr>
      <w:widowControl/>
      <w:suppressAutoHyphens w:val="true"/>
      <w:bidi w:val="0"/>
      <w:spacing w:before="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font5" w:customStyle="1">
    <w:name w:val="font5"/>
    <w:basedOn w:val="Normal"/>
    <w:qFormat/>
    <w:rsid w:val="006f107b"/>
    <w:pPr>
      <w:spacing w:beforeAutospacing="1" w:afterAutospacing="1"/>
      <w:ind w:hanging="0"/>
      <w:jc w:val="left"/>
    </w:pPr>
    <w:rPr>
      <w:rFonts w:ascii="Times New Roman" w:hAnsi="Times New Roman"/>
      <w:sz w:val="22"/>
      <w:szCs w:val="22"/>
    </w:rPr>
  </w:style>
  <w:style w:type="paragraph" w:styleId="font6" w:customStyle="1">
    <w:name w:val="font6"/>
    <w:basedOn w:val="Normal"/>
    <w:qFormat/>
    <w:rsid w:val="006f107b"/>
    <w:pPr>
      <w:spacing w:beforeAutospacing="1" w:afterAutospacing="1"/>
      <w:ind w:hanging="0"/>
      <w:jc w:val="left"/>
    </w:pPr>
    <w:rPr>
      <w:rFonts w:ascii="Times New Roman" w:hAnsi="Times New Roman"/>
      <w:b/>
      <w:bCs/>
      <w:sz w:val="22"/>
      <w:szCs w:val="22"/>
    </w:rPr>
  </w:style>
  <w:style w:type="paragraph" w:styleId="xl65" w:customStyle="1">
    <w:name w:val="xl65"/>
    <w:basedOn w:val="Normal"/>
    <w:qFormat/>
    <w:rsid w:val="006f107b"/>
    <w:pPr>
      <w:spacing w:beforeAutospacing="1" w:afterAutospacing="1"/>
      <w:ind w:hanging="0"/>
      <w:jc w:val="center"/>
    </w:pPr>
    <w:rPr>
      <w:rFonts w:ascii="Calibri" w:hAnsi="Calibri"/>
      <w:b/>
      <w:bCs/>
      <w:szCs w:val="24"/>
    </w:rPr>
  </w:style>
  <w:style w:type="paragraph" w:styleId="xl66" w:customStyle="1">
    <w:name w:val="xl66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67" w:customStyle="1">
    <w:name w:val="xl67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rFonts w:ascii="Times New Roman" w:hAnsi="Times New Roman"/>
      <w:szCs w:val="24"/>
    </w:rPr>
  </w:style>
  <w:style w:type="paragraph" w:styleId="xl68" w:customStyle="1">
    <w:name w:val="xl68"/>
    <w:basedOn w:val="Normal"/>
    <w:qFormat/>
    <w:rsid w:val="006f107b"/>
    <w:pPr>
      <w:spacing w:beforeAutospacing="1" w:afterAutospacing="1"/>
      <w:ind w:hanging="0"/>
      <w:jc w:val="left"/>
    </w:pPr>
    <w:rPr>
      <w:rFonts w:ascii="Calibri" w:hAnsi="Calibri"/>
      <w:b/>
      <w:bCs/>
      <w:szCs w:val="24"/>
    </w:rPr>
  </w:style>
  <w:style w:type="paragraph" w:styleId="xl69" w:customStyle="1">
    <w:name w:val="xl69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0" w:customStyle="1">
    <w:name w:val="xl70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71" w:customStyle="1">
    <w:name w:val="xl7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2" w:customStyle="1">
    <w:name w:val="xl72"/>
    <w:basedOn w:val="Normal"/>
    <w:qFormat/>
    <w:rsid w:val="006f107b"/>
    <w:pPr>
      <w:spacing w:beforeAutospacing="1" w:afterAutospacing="1"/>
      <w:ind w:hanging="0"/>
      <w:jc w:val="left"/>
    </w:pPr>
    <w:rPr>
      <w:rFonts w:ascii="Calibri" w:hAnsi="Calibri"/>
      <w:szCs w:val="24"/>
    </w:rPr>
  </w:style>
  <w:style w:type="paragraph" w:styleId="xl73" w:customStyle="1">
    <w:name w:val="xl7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4" w:customStyle="1">
    <w:name w:val="xl74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5" w:customStyle="1">
    <w:name w:val="xl75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6" w:customStyle="1">
    <w:name w:val="xl76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7" w:customStyle="1">
    <w:name w:val="xl77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8" w:customStyle="1">
    <w:name w:val="xl78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9" w:customStyle="1">
    <w:name w:val="xl79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0" w:customStyle="1">
    <w:name w:val="xl80"/>
    <w:basedOn w:val="Normal"/>
    <w:qFormat/>
    <w:rsid w:val="006f107b"/>
    <w:pPr>
      <w:pBdr>
        <w:top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1" w:customStyle="1">
    <w:name w:val="xl81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2" w:customStyle="1">
    <w:name w:val="xl82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3" w:customStyle="1">
    <w:name w:val="xl8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4" w:customStyle="1">
    <w:name w:val="xl84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rFonts w:ascii="Times New Roman" w:hAnsi="Times New Roman"/>
      <w:szCs w:val="24"/>
    </w:rPr>
  </w:style>
  <w:style w:type="paragraph" w:styleId="xl85" w:customStyle="1">
    <w:name w:val="xl85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6" w:customStyle="1">
    <w:name w:val="xl86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rFonts w:ascii="Times New Roman" w:hAnsi="Times New Roman"/>
      <w:szCs w:val="24"/>
    </w:rPr>
  </w:style>
  <w:style w:type="paragraph" w:styleId="xl87" w:customStyle="1">
    <w:name w:val="xl87"/>
    <w:basedOn w:val="Normal"/>
    <w:qFormat/>
    <w:rsid w:val="006f107b"/>
    <w:pPr>
      <w:pBdr>
        <w:top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8" w:customStyle="1">
    <w:name w:val="xl88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9" w:customStyle="1">
    <w:name w:val="xl89"/>
    <w:basedOn w:val="Normal"/>
    <w:qFormat/>
    <w:rsid w:val="006f107b"/>
    <w:pPr>
      <w:pBdr>
        <w:top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90" w:customStyle="1">
    <w:name w:val="xl90"/>
    <w:basedOn w:val="Normal"/>
    <w:qFormat/>
    <w:rsid w:val="006f107b"/>
    <w:pP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91" w:customStyle="1">
    <w:name w:val="xl9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92" w:customStyle="1">
    <w:name w:val="xl92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93" w:customStyle="1">
    <w:name w:val="xl93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94" w:customStyle="1">
    <w:name w:val="xl94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95" w:customStyle="1">
    <w:name w:val="xl95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i/>
      <w:iCs/>
      <w:szCs w:val="24"/>
    </w:rPr>
  </w:style>
  <w:style w:type="paragraph" w:styleId="xl96" w:customStyle="1">
    <w:name w:val="xl96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i/>
      <w:iCs/>
      <w:szCs w:val="24"/>
    </w:rPr>
  </w:style>
  <w:style w:type="paragraph" w:styleId="xl97" w:customStyle="1">
    <w:name w:val="xl97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98" w:customStyle="1">
    <w:name w:val="xl98"/>
    <w:basedOn w:val="Normal"/>
    <w:qFormat/>
    <w:rsid w:val="006f107b"/>
    <w:pPr>
      <w:spacing w:beforeAutospacing="1" w:afterAutospacing="1"/>
      <w:ind w:hanging="0"/>
      <w:jc w:val="center"/>
    </w:pPr>
    <w:rPr>
      <w:rFonts w:ascii="Calibri" w:hAnsi="Calibri"/>
      <w:szCs w:val="24"/>
    </w:rPr>
  </w:style>
  <w:style w:type="paragraph" w:styleId="xl99" w:customStyle="1">
    <w:name w:val="xl99"/>
    <w:basedOn w:val="Normal"/>
    <w:qFormat/>
    <w:rsid w:val="006f107b"/>
    <w:pP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100" w:customStyle="1">
    <w:name w:val="xl100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</w:pPr>
    <w:rPr>
      <w:rFonts w:ascii="Times New Roman" w:hAnsi="Times New Roman"/>
      <w:szCs w:val="24"/>
    </w:rPr>
  </w:style>
  <w:style w:type="paragraph" w:styleId="xl101" w:customStyle="1">
    <w:name w:val="xl10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2" w:customStyle="1">
    <w:name w:val="xl102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3" w:customStyle="1">
    <w:name w:val="xl103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4" w:customStyle="1">
    <w:name w:val="xl104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5" w:customStyle="1">
    <w:name w:val="xl105"/>
    <w:basedOn w:val="Normal"/>
    <w:qFormat/>
    <w:rsid w:val="006f107b"/>
    <w:pPr>
      <w:pBdr>
        <w:top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6" w:customStyle="1">
    <w:name w:val="xl106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7" w:customStyle="1">
    <w:name w:val="xl107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8" w:customStyle="1">
    <w:name w:val="xl108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9" w:customStyle="1">
    <w:name w:val="xl109"/>
    <w:basedOn w:val="Normal"/>
    <w:qFormat/>
    <w:rsid w:val="006f107b"/>
    <w:pPr>
      <w:shd w:val="clear" w:color="000000" w:fill="FFFFFF"/>
      <w:spacing w:beforeAutospacing="1" w:afterAutospacing="1"/>
      <w:ind w:hanging="0"/>
      <w:jc w:val="left"/>
    </w:pPr>
    <w:rPr>
      <w:rFonts w:ascii="Calibri" w:hAnsi="Calibri"/>
      <w:szCs w:val="24"/>
    </w:rPr>
  </w:style>
  <w:style w:type="paragraph" w:styleId="xl110" w:customStyle="1">
    <w:name w:val="xl110"/>
    <w:basedOn w:val="Normal"/>
    <w:qFormat/>
    <w:rsid w:val="006f107b"/>
    <w:pPr>
      <w:pBdr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11" w:customStyle="1">
    <w:name w:val="xl11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12" w:customStyle="1">
    <w:name w:val="xl112"/>
    <w:basedOn w:val="Normal"/>
    <w:qFormat/>
    <w:rsid w:val="006f107b"/>
    <w:pPr>
      <w:pBdr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13" w:customStyle="1">
    <w:name w:val="xl11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14" w:customStyle="1">
    <w:name w:val="xl114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115" w:customStyle="1">
    <w:name w:val="xl115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116" w:customStyle="1">
    <w:name w:val="xl116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117" w:customStyle="1">
    <w:name w:val="xl117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18" w:customStyle="1">
    <w:name w:val="xl118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19" w:customStyle="1">
    <w:name w:val="xl119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20" w:customStyle="1">
    <w:name w:val="xl120"/>
    <w:basedOn w:val="Normal"/>
    <w:qFormat/>
    <w:rsid w:val="006f107b"/>
    <w:pPr>
      <w:pBdr>
        <w:top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21" w:customStyle="1">
    <w:name w:val="xl121"/>
    <w:basedOn w:val="Normal"/>
    <w:qFormat/>
    <w:rsid w:val="006f107b"/>
    <w:pPr>
      <w:pBdr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22" w:customStyle="1">
    <w:name w:val="xl122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23" w:customStyle="1">
    <w:name w:val="xl123"/>
    <w:basedOn w:val="Normal"/>
    <w:qFormat/>
    <w:rsid w:val="006f107b"/>
    <w:pPr>
      <w:pBdr>
        <w:lef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24" w:customStyle="1">
    <w:name w:val="xl124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25" w:customStyle="1">
    <w:name w:val="xl125"/>
    <w:basedOn w:val="Normal"/>
    <w:qFormat/>
    <w:rsid w:val="006f107b"/>
    <w:pPr>
      <w:pBdr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26" w:customStyle="1">
    <w:name w:val="xl126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27" w:customStyle="1">
    <w:name w:val="xl127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28" w:customStyle="1">
    <w:name w:val="xl128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29" w:customStyle="1">
    <w:name w:val="xl129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30" w:customStyle="1">
    <w:name w:val="xl130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1" w:customStyle="1">
    <w:name w:val="xl13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2" w:customStyle="1">
    <w:name w:val="xl132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3" w:customStyle="1">
    <w:name w:val="xl133"/>
    <w:basedOn w:val="Normal"/>
    <w:qFormat/>
    <w:rsid w:val="006f107b"/>
    <w:pPr>
      <w:pBdr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34" w:customStyle="1">
    <w:name w:val="xl134"/>
    <w:basedOn w:val="Normal"/>
    <w:qFormat/>
    <w:rsid w:val="006f107b"/>
    <w:pPr>
      <w:pBdr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35" w:customStyle="1">
    <w:name w:val="xl135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36" w:customStyle="1">
    <w:name w:val="xl136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37" w:customStyle="1">
    <w:name w:val="xl137"/>
    <w:basedOn w:val="Normal"/>
    <w:qFormat/>
    <w:rsid w:val="006f107b"/>
    <w:pPr>
      <w:pBdr>
        <w:left w:val="single" w:sz="4" w:space="0" w:color="000000"/>
        <w:bottom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8" w:customStyle="1">
    <w:name w:val="xl138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9" w:customStyle="1">
    <w:name w:val="xl139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40" w:customStyle="1">
    <w:name w:val="xl140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41" w:customStyle="1">
    <w:name w:val="xl14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42" w:customStyle="1">
    <w:name w:val="xl142"/>
    <w:basedOn w:val="Normal"/>
    <w:qFormat/>
    <w:rsid w:val="006f107b"/>
    <w:pPr>
      <w:pBdr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FootnoteText">
    <w:name w:val="footnote text"/>
    <w:basedOn w:val="Normal"/>
    <w:link w:val="Style18"/>
    <w:uiPriority w:val="99"/>
    <w:unhideWhenUsed/>
    <w:rsid w:val="00855a6c"/>
    <w:pPr>
      <w:spacing w:before="0" w:after="0"/>
    </w:pPr>
    <w:rPr>
      <w:sz w:val="20"/>
    </w:rPr>
  </w:style>
  <w:style w:type="paragraph" w:styleId="xl63" w:customStyle="1">
    <w:name w:val="xl63"/>
    <w:basedOn w:val="Normal"/>
    <w:qFormat/>
    <w:rsid w:val="00d52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64" w:customStyle="1">
    <w:name w:val="xl64"/>
    <w:basedOn w:val="Normal"/>
    <w:qFormat/>
    <w:rsid w:val="00d525d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22" w:customStyle="1">
    <w:name w:val="Обычный2"/>
    <w:qFormat/>
    <w:rsid w:val="00541b66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eastAsia="ru-RU" w:val="ru-RU" w:bidi="ar-SA"/>
    </w:rPr>
  </w:style>
  <w:style w:type="paragraph" w:styleId="Style26" w:customStyle="1">
    <w:name w:val="Содержимое таблицы"/>
    <w:basedOn w:val="Normal"/>
    <w:qFormat/>
    <w:rsid w:val="00817aa4"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rsid w:val="00817aa4"/>
    <w:pPr>
      <w:jc w:val="center"/>
    </w:pPr>
    <w:rPr>
      <w:b/>
      <w:bCs/>
    </w:rPr>
  </w:style>
  <w:style w:type="paragraph" w:styleId="user4" w:customStyle="1">
    <w:name w:val="Содержимое таблицы (user)"/>
    <w:basedOn w:val="Normal"/>
    <w:qFormat/>
    <w:rsid w:val="00817aa4"/>
    <w:pPr>
      <w:widowControl w:val="false"/>
      <w:suppressLineNumbers/>
    </w:pPr>
    <w:rPr/>
  </w:style>
  <w:style w:type="paragraph" w:styleId="user5" w:customStyle="1">
    <w:name w:val="Заголовок таблицы (user)"/>
    <w:basedOn w:val="user4"/>
    <w:qFormat/>
    <w:rsid w:val="00817aa4"/>
    <w:pPr>
      <w:jc w:val="center"/>
    </w:pPr>
    <w:rPr>
      <w:b/>
      <w:bCs/>
    </w:rPr>
  </w:style>
  <w:style w:type="paragraph" w:styleId="ListParagraph3" w:customStyle="1">
    <w:name w:val="List Paragraph;Введение;3_Абзац списка;СПИСКИ"/>
    <w:basedOn w:val="Normal"/>
    <w:qFormat/>
    <w:rsid w:val="00f35a85"/>
    <w:pPr>
      <w:spacing w:before="120" w:after="0"/>
      <w:ind w:hanging="0" w:left="720"/>
      <w:contextualSpacing/>
      <w:jc w:val="left"/>
    </w:pPr>
    <w:rPr/>
  </w:style>
  <w:style w:type="paragraph" w:styleId="Style28" w:customStyle="1">
    <w:name w:val="Верхний колонтитул слева"/>
    <w:basedOn w:val="Header"/>
    <w:qFormat/>
    <w:rsid w:val="00772905"/>
    <w:pPr/>
    <w:rPr/>
  </w:style>
  <w:style w:type="numbering" w:styleId="Style29" w:customStyle="1">
    <w:name w:val="Без списка"/>
    <w:uiPriority w:val="99"/>
    <w:semiHidden/>
    <w:unhideWhenUsed/>
    <w:qFormat/>
    <w:rsid w:val="00817aa4"/>
  </w:style>
  <w:style w:type="numbering" w:styleId="user6" w:customStyle="1">
    <w:name w:val="Без списка (user)"/>
    <w:uiPriority w:val="99"/>
    <w:semiHidden/>
    <w:unhideWhenUsed/>
    <w:qFormat/>
    <w:rsid w:val="005d145d"/>
  </w:style>
  <w:style w:type="numbering" w:styleId="15" w:customStyle="1">
    <w:name w:val="Нет списка1"/>
    <w:uiPriority w:val="99"/>
    <w:semiHidden/>
    <w:unhideWhenUsed/>
    <w:qFormat/>
    <w:rsid w:val="007c2ba9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uiPriority w:val="59"/>
    <w:rsid w:val="007c2ba9"/>
    <w:pPr>
      <w:spacing w:before="120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uiPriority w:val="59"/>
    <w:rsid w:val="007c2ba9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ac383b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65B33E7538238026297BA112359CB8EB7997E6E2B2A55688B2519B88685C19C74D9279072F8F6856757EB7F4F0092A59S7vDD" TargetMode="External"/><Relationship Id="rId4" Type="http://schemas.openxmlformats.org/officeDocument/2006/relationships/hyperlink" Target="consultantplus://offline/ref=65B33E7538238026297BA112359CB8EB7997E6E2B2A55982B5519B88685C19C74D9279152FD764547464BFF4E55F7B1C214F46CB59D8E1E5666DBCSAv0D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yperlink" Target="https://login.consultant.ru/link/?req=doc&amp;base=LAW&amp;n=441135" TargetMode="External"/><Relationship Id="rId9" Type="http://schemas.openxmlformats.org/officeDocument/2006/relationships/hyperlink" Target="https://login.consultant.ru/link/?req=doc&amp;base=LAW&amp;n=479344&amp;dst=100019" TargetMode="External"/><Relationship Id="rId10" Type="http://schemas.openxmlformats.org/officeDocument/2006/relationships/hyperlink" Target="https://login.consultant.ru/link/?req=doc&amp;base=LAW&amp;n=441135" TargetMode="External"/><Relationship Id="rId11" Type="http://schemas.openxmlformats.org/officeDocument/2006/relationships/hyperlink" Target="https://login.consultant.ru/link/?req=doc&amp;base=LAW&amp;n=441135" TargetMode="External"/><Relationship Id="rId12" Type="http://schemas.openxmlformats.org/officeDocument/2006/relationships/hyperlink" Target="https://login.consultant.ru/link/?req=doc&amp;base=LAW&amp;n=441135" TargetMode="External"/><Relationship Id="rId13" Type="http://schemas.openxmlformats.org/officeDocument/2006/relationships/header" Target="header4.xml"/><Relationship Id="rId14" Type="http://schemas.openxmlformats.org/officeDocument/2006/relationships/header" Target="header5.xml"/><Relationship Id="rId15" Type="http://schemas.openxmlformats.org/officeDocument/2006/relationships/header" Target="header6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header" Target="header7.xml"/><Relationship Id="rId20" Type="http://schemas.openxmlformats.org/officeDocument/2006/relationships/header" Target="header8.xml"/><Relationship Id="rId21" Type="http://schemas.openxmlformats.org/officeDocument/2006/relationships/header" Target="header9.xml"/><Relationship Id="rId22" Type="http://schemas.openxmlformats.org/officeDocument/2006/relationships/footer" Target="footer4.xml"/><Relationship Id="rId23" Type="http://schemas.openxmlformats.org/officeDocument/2006/relationships/footer" Target="footer5.xml"/><Relationship Id="rId24" Type="http://schemas.openxmlformats.org/officeDocument/2006/relationships/footer" Target="footer6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<Relationship Id="rId2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F453A-C148-435C-869C-F5639DF1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LibreOffice/25.2.6.2$Linux_X86_64 LibreOffice_project/520$Build-2</Application>
  <AppVersion>15.0000</AppVersion>
  <Pages>50</Pages>
  <Words>6824</Words>
  <Characters>47980</Characters>
  <CharactersWithSpaces>53407</CharactersWithSpaces>
  <Paragraphs>1450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2026-03-23T03:41:00Z</dcterms:created>
  <dc:creator>TORG</dc:creator>
  <dc:description/>
  <dc:language>ru-RU</dc:language>
  <cp:lastModifiedBy/>
  <cp:lastPrinted>2026-03-20T07:28:00Z</cp:lastPrinted>
  <dcterms:modified xsi:type="dcterms:W3CDTF">2026-03-24T12:04:29Z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